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50D" w:rsidRDefault="005B6480" w:rsidP="00C45C21">
      <w:pPr>
        <w:spacing w:after="86" w:line="259" w:lineRule="auto"/>
        <w:ind w:right="-874"/>
      </w:pPr>
      <w:r>
        <w:t>Using Engagement Strategies to Facilitate Children’s Learning and Success</w:t>
      </w:r>
    </w:p>
    <w:p w:rsidR="0072050D" w:rsidRDefault="005B6480">
      <w:pPr>
        <w:ind w:left="1370" w:firstLine="720"/>
      </w:pPr>
      <w:r>
        <w:t xml:space="preserve">Of the two articles offered this week for critique, I chose the article that focuses on ways </w:t>
      </w:r>
      <w:proofErr w:type="gramStart"/>
      <w:r>
        <w:t>to</w:t>
      </w:r>
      <w:proofErr w:type="gramEnd"/>
      <w:r>
        <w:t xml:space="preserve"> enhances student’s abilities to be successful in their learning expe</w:t>
      </w:r>
      <w:r>
        <w:t xml:space="preserve">rience. As stated in the title </w:t>
      </w:r>
      <w:proofErr w:type="spellStart"/>
      <w:r>
        <w:t>Jablon</w:t>
      </w:r>
      <w:proofErr w:type="spellEnd"/>
      <w:r>
        <w:t xml:space="preserve"> and Wilkinson (2006,</w:t>
      </w:r>
      <w:bookmarkStart w:id="0" w:name="_GoBack"/>
      <w:bookmarkEnd w:id="0"/>
      <w:r>
        <w:t xml:space="preserve"> March) encourage “using engagement strategies” as a way to ensure the most positive education experience for students of all ages.  Before defining and explaining in detail the main points of using</w:t>
      </w:r>
      <w:r>
        <w:t xml:space="preserve"> engagement, an example was included from a 3</w:t>
      </w:r>
      <w:r>
        <w:rPr>
          <w:sz w:val="22"/>
          <w:vertAlign w:val="superscript"/>
        </w:rPr>
        <w:t>rd</w:t>
      </w:r>
      <w:r>
        <w:t xml:space="preserve"> grade class taught by “Ms. Neil” and with that was a detailed breakdown as to the ways she introduced and implemented a lesson plan with “engagement strategies” well rooted within the assignment (</w:t>
      </w:r>
      <w:proofErr w:type="spellStart"/>
      <w:r>
        <w:t>Jablon</w:t>
      </w:r>
      <w:proofErr w:type="spellEnd"/>
      <w:r>
        <w:t xml:space="preserve"> &amp; Wil</w:t>
      </w:r>
      <w:r>
        <w:t>kinson, 2016). Following such, the topic of student engagement is clearly defined and explained with multiple examples of how to be sure any teacher reading this information could be able to incorporate these strategies into the classroom daily curriculum.</w:t>
      </w:r>
      <w:r>
        <w:t xml:space="preserve"> There were descriptions of a few strategies highlighted with acronyms or key words for future reference and understanding. For example “KWL” is the acronym reminder when starting a new lesson or unit, and it stands </w:t>
      </w:r>
      <w:proofErr w:type="gramStart"/>
      <w:r>
        <w:t>for ,</w:t>
      </w:r>
      <w:proofErr w:type="gramEnd"/>
      <w:r>
        <w:t xml:space="preserve"> “what do you already </w:t>
      </w:r>
      <w:r>
        <w:rPr>
          <w:color w:val="FF0000"/>
        </w:rPr>
        <w:t>k</w:t>
      </w:r>
      <w:r>
        <w:t>now, what do</w:t>
      </w:r>
      <w:r>
        <w:t xml:space="preserve"> you </w:t>
      </w:r>
      <w:r>
        <w:rPr>
          <w:color w:val="FF0000"/>
        </w:rPr>
        <w:t>w</w:t>
      </w:r>
      <w:r>
        <w:t xml:space="preserve">onder about, and what do you want to </w:t>
      </w:r>
      <w:r>
        <w:rPr>
          <w:color w:val="FF0000"/>
        </w:rPr>
        <w:t>l</w:t>
      </w:r>
      <w:r>
        <w:t>earn, [and these questions can be asked in] whole groups, small groups, and individual learners” (</w:t>
      </w:r>
      <w:proofErr w:type="spellStart"/>
      <w:r>
        <w:t>Jablon</w:t>
      </w:r>
      <w:proofErr w:type="spellEnd"/>
      <w:r>
        <w:t xml:space="preserve"> &amp; Wilkinson, 2016). </w:t>
      </w:r>
    </w:p>
    <w:p w:rsidR="0072050D" w:rsidRDefault="005B6480">
      <w:pPr>
        <w:ind w:left="1370" w:firstLine="720"/>
      </w:pPr>
      <w:r>
        <w:t>The subject matter and examples used within the article were clear and concise.  It wa</w:t>
      </w:r>
      <w:r>
        <w:t>s easy to get through and understand. The subject matter actually seems to parallel what we are learning in this week’s module 5. In chapter 10 of our text Woolfolk (2016) highlights, “how knowledge is constructed [and in the second example notes] “new kno</w:t>
      </w:r>
      <w:r>
        <w:t>wledge is abstracted from old knowledge. Knowledge is not a mirror of reality but rather an abstraction that grows from and develops with cognitive activity” (2016, p. 375). This seems to me to be in direct line with KWL. A way to build on what you know wi</w:t>
      </w:r>
      <w:r>
        <w:t>th how you think and want to achieve. Within the article it is also mentioned that a “significant correlation between high levels of engagement and improved attendance and achievement” (</w:t>
      </w:r>
      <w:proofErr w:type="spellStart"/>
      <w:r>
        <w:t>Jablon</w:t>
      </w:r>
      <w:proofErr w:type="spellEnd"/>
      <w:r>
        <w:t xml:space="preserve"> &amp; Wilkinson, 2006, p. 2). There were multiple references to res</w:t>
      </w:r>
      <w:r>
        <w:t xml:space="preserve">earch or studies, but none of the details of such were </w:t>
      </w:r>
      <w:r>
        <w:lastRenderedPageBreak/>
        <w:t xml:space="preserve">actually included within the article. That being said I had no problem finding plenty of scholarly articles that supported and or elaborated on the points made in </w:t>
      </w:r>
      <w:proofErr w:type="spellStart"/>
      <w:r>
        <w:t>Jablon</w:t>
      </w:r>
      <w:proofErr w:type="spellEnd"/>
      <w:r>
        <w:t xml:space="preserve"> &amp; Wilkinson’s article.</w:t>
      </w:r>
    </w:p>
    <w:p w:rsidR="0072050D" w:rsidRDefault="005B6480">
      <w:pPr>
        <w:ind w:left="1370" w:firstLine="710"/>
      </w:pPr>
      <w:r>
        <w:t>The exam</w:t>
      </w:r>
      <w:r>
        <w:t xml:space="preserve">ples addressed in Ms. Neil’s class are also referenced and added to in an article focused on higher education teaching strategies. Weimer (2012, July) also includes a definition that supports the discussion in </w:t>
      </w:r>
      <w:r>
        <w:rPr>
          <w:i/>
        </w:rPr>
        <w:t>Using Engagement Strategies to Facilitate Chil</w:t>
      </w:r>
      <w:r>
        <w:rPr>
          <w:i/>
        </w:rPr>
        <w:t>dren’s Learning and Success, “</w:t>
      </w:r>
      <w:r>
        <w:rPr>
          <w:color w:val="282828"/>
        </w:rPr>
        <w:t xml:space="preserve">engagement is a students’ cognitive investment in, active participation in, and emotional commitment to their learning.” While Ms. Neil’s class is at the elementary level and Weimer is addressing higher education, the overall </w:t>
      </w:r>
      <w:r>
        <w:rPr>
          <w:color w:val="282828"/>
        </w:rPr>
        <w:t>concept of the teacher being a driving force in the process is the same.  The concept of building on what a student knows on the subject, what it has them thinking about and what more do they want to learn is applicable at any level of learning. Stephens (</w:t>
      </w:r>
      <w:r>
        <w:rPr>
          <w:color w:val="282828"/>
        </w:rPr>
        <w:t>2015) compares the more engaged to the less engaged student and surmises, “engaged students demonstrate more effort, experience more positive emotions and pay more attention in the classroom [which has] also been associated with positive student outcomes [</w:t>
      </w:r>
      <w:r>
        <w:rPr>
          <w:color w:val="282828"/>
        </w:rPr>
        <w:t xml:space="preserve">to include] higher grades and decreased dropouts.”  </w:t>
      </w:r>
    </w:p>
    <w:p w:rsidR="0072050D" w:rsidRDefault="005B6480">
      <w:pPr>
        <w:ind w:left="1370" w:firstLine="710"/>
      </w:pPr>
      <w:r>
        <w:rPr>
          <w:color w:val="282828"/>
        </w:rPr>
        <w:t>As important as it is to build the students motivation and confidence, the confidence and motivation of the teacher is vital to the success of properly implementing engagement strategies. Confidence is e</w:t>
      </w:r>
      <w:r>
        <w:rPr>
          <w:color w:val="282828"/>
        </w:rPr>
        <w:t>qual to self-efficacy according to Bandura (1977).  Teachers who have personal and professional confidence are best able to utilize engagement strategies for the most positive effective learning situations (</w:t>
      </w:r>
      <w:proofErr w:type="spellStart"/>
      <w:r>
        <w:rPr>
          <w:color w:val="282828"/>
        </w:rPr>
        <w:t>Jablon</w:t>
      </w:r>
      <w:proofErr w:type="spellEnd"/>
      <w:r>
        <w:rPr>
          <w:color w:val="282828"/>
        </w:rPr>
        <w:t xml:space="preserve"> &amp; Wilkinson</w:t>
      </w:r>
      <w:proofErr w:type="gramStart"/>
      <w:r>
        <w:rPr>
          <w:color w:val="282828"/>
        </w:rPr>
        <w:t>,2006</w:t>
      </w:r>
      <w:proofErr w:type="gramEnd"/>
      <w:r>
        <w:rPr>
          <w:color w:val="282828"/>
        </w:rPr>
        <w:t>; Stephen, 2015; Weimer, 2</w:t>
      </w:r>
      <w:r>
        <w:rPr>
          <w:color w:val="282828"/>
        </w:rPr>
        <w:t xml:space="preserve">012).  </w:t>
      </w:r>
    </w:p>
    <w:p w:rsidR="00C45C21" w:rsidRDefault="005B6480" w:rsidP="00C45C21">
      <w:pPr>
        <w:ind w:left="1370" w:firstLine="710"/>
      </w:pPr>
      <w:r>
        <w:rPr>
          <w:color w:val="282828"/>
        </w:rPr>
        <w:t>The article used for critique as well as the research used to support it, has been informative and instructive.  In an effort to compare and contrast, I found only supporting information, and far more than was necessary to use for this paper. I bel</w:t>
      </w:r>
      <w:r>
        <w:rPr>
          <w:color w:val="282828"/>
        </w:rPr>
        <w:t>ieve the knowledge I gained has enhanced my understanding of the subject matter.</w:t>
      </w:r>
    </w:p>
    <w:p w:rsidR="0072050D" w:rsidRDefault="005B6480" w:rsidP="00C45C21">
      <w:pPr>
        <w:ind w:left="1370" w:firstLine="710"/>
      </w:pPr>
      <w:r>
        <w:t>References</w:t>
      </w:r>
    </w:p>
    <w:p w:rsidR="0072050D" w:rsidRDefault="005B6480">
      <w:pPr>
        <w:ind w:left="1016" w:hanging="64"/>
        <w:jc w:val="center"/>
      </w:pPr>
      <w:proofErr w:type="spellStart"/>
      <w:r>
        <w:lastRenderedPageBreak/>
        <w:t>Jablon</w:t>
      </w:r>
      <w:proofErr w:type="spellEnd"/>
      <w:r>
        <w:t xml:space="preserve">, J. R. &amp; Wilkinson, M. (2006, March). Using engagement strategies to facilitate children’s Learning and success. </w:t>
      </w:r>
      <w:r>
        <w:rPr>
          <w:i/>
        </w:rPr>
        <w:t xml:space="preserve">Beyond the Journal. </w:t>
      </w:r>
      <w:r>
        <w:t xml:space="preserve">Retrieved from </w:t>
      </w:r>
      <w:r>
        <w:rPr>
          <w:color w:val="00000A"/>
        </w:rPr>
        <w:t>https://web.archive.org/ web/20170215145319/</w:t>
      </w:r>
      <w:r>
        <w:t xml:space="preserve"> https://www.naeyc.org/files/yc/file/200603/JablonBTJ.pdf</w:t>
      </w:r>
    </w:p>
    <w:p w:rsidR="0072050D" w:rsidRDefault="005B6480">
      <w:pPr>
        <w:ind w:left="2090" w:right="294" w:hanging="720"/>
      </w:pPr>
      <w:r>
        <w:t xml:space="preserve">Stephens, T. L. (2015, August). Encouraging positive student engagement and motivation: Tips or teachers. </w:t>
      </w:r>
      <w:r>
        <w:rPr>
          <w:i/>
        </w:rPr>
        <w:t>Pearson.</w:t>
      </w:r>
      <w:r>
        <w:t xml:space="preserve"> Retrieved from h</w:t>
      </w:r>
      <w:r>
        <w:rPr>
          <w:color w:val="00000A"/>
        </w:rPr>
        <w:t>ttps://www.pearsoned.co</w:t>
      </w:r>
      <w:r>
        <w:rPr>
          <w:color w:val="00000A"/>
        </w:rPr>
        <w:t>m/encouragingp</w:t>
      </w:r>
      <w:r>
        <w:t>ositive-student-engagement-and-motivation-tips-for-teachers/</w:t>
      </w:r>
    </w:p>
    <w:p w:rsidR="0072050D" w:rsidRDefault="005B6480">
      <w:pPr>
        <w:ind w:left="2105" w:right="405" w:hanging="720"/>
        <w:jc w:val="both"/>
      </w:pPr>
      <w:r>
        <w:t xml:space="preserve">Weimer, M. (2012, July). 10 ways to promote student engagement. </w:t>
      </w:r>
      <w:proofErr w:type="spellStart"/>
      <w:r>
        <w:rPr>
          <w:i/>
        </w:rPr>
        <w:t>FacultyFocus</w:t>
      </w:r>
      <w:proofErr w:type="spellEnd"/>
      <w:r>
        <w:rPr>
          <w:i/>
        </w:rPr>
        <w:t>.</w:t>
      </w:r>
      <w:r>
        <w:t xml:space="preserve"> Retrieved From h</w:t>
      </w:r>
      <w:r>
        <w:rPr>
          <w:color w:val="5F5F5F"/>
          <w:u w:val="single" w:color="5F5F5F"/>
        </w:rPr>
        <w:t>ttps://www.facultyfocus.com/articles/effective-teaching-strategies/10-ways-top</w:t>
      </w:r>
      <w:r>
        <w:t>romote-st</w:t>
      </w:r>
      <w:r>
        <w:t>udent-engagement/</w:t>
      </w:r>
    </w:p>
    <w:p w:rsidR="0072050D" w:rsidRDefault="005B6480">
      <w:pPr>
        <w:spacing w:after="236" w:line="259" w:lineRule="auto"/>
        <w:ind w:left="10" w:right="136"/>
        <w:jc w:val="right"/>
      </w:pPr>
      <w:r>
        <w:t xml:space="preserve">Woolfolk, A. (2016). </w:t>
      </w:r>
      <w:r>
        <w:rPr>
          <w:i/>
        </w:rPr>
        <w:t>Educational Psychology, 13</w:t>
      </w:r>
      <w:r>
        <w:rPr>
          <w:i/>
          <w:sz w:val="22"/>
          <w:vertAlign w:val="superscript"/>
        </w:rPr>
        <w:t>th</w:t>
      </w:r>
      <w:r>
        <w:rPr>
          <w:i/>
        </w:rPr>
        <w:t xml:space="preserve"> Edition. </w:t>
      </w:r>
      <w:r>
        <w:t>[</w:t>
      </w:r>
      <w:proofErr w:type="spellStart"/>
      <w:r>
        <w:t>VitalSource</w:t>
      </w:r>
      <w:proofErr w:type="spellEnd"/>
      <w:r>
        <w:t>]. Retrieved from https:</w:t>
      </w:r>
    </w:p>
    <w:p w:rsidR="0072050D" w:rsidRDefault="005B6480" w:rsidP="00C45C21">
      <w:pPr>
        <w:spacing w:after="7570"/>
        <w:ind w:left="2115"/>
      </w:pPr>
      <w:r>
        <w:t>//bookshelf.vitalsource.com/#/books/9780133550023/</w:t>
      </w:r>
    </w:p>
    <w:sectPr w:rsidR="0072050D">
      <w:headerReference w:type="even" r:id="rId6"/>
      <w:headerReference w:type="default" r:id="rId7"/>
      <w:footerReference w:type="even" r:id="rId8"/>
      <w:footerReference w:type="default" r:id="rId9"/>
      <w:headerReference w:type="first" r:id="rId10"/>
      <w:footerReference w:type="first" r:id="rId11"/>
      <w:pgSz w:w="12240" w:h="15840"/>
      <w:pgMar w:top="387" w:right="1441"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6480" w:rsidRDefault="005B6480">
      <w:pPr>
        <w:spacing w:line="240" w:lineRule="auto"/>
      </w:pPr>
      <w:r>
        <w:separator/>
      </w:r>
    </w:p>
  </w:endnote>
  <w:endnote w:type="continuationSeparator" w:id="0">
    <w:p w:rsidR="005B6480" w:rsidRDefault="005B64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50D" w:rsidRDefault="005B6480">
    <w:pPr>
      <w:spacing w:after="367" w:line="259" w:lineRule="auto"/>
      <w:ind w:left="567" w:firstLine="0"/>
    </w:pPr>
    <w:r>
      <w:rPr>
        <w:rFonts w:ascii="Times New Roman" w:eastAsia="Times New Roman" w:hAnsi="Times New Roman" w:cs="Times New Roman"/>
        <w:sz w:val="16"/>
      </w:rPr>
      <w:t>This study source was downloaded by 100000846643214 from CourseHero.com on 08-30-2022 03:42:13 GMT -05:00</w:t>
    </w:r>
  </w:p>
  <w:p w:rsidR="0072050D" w:rsidRDefault="005B6480">
    <w:pPr>
      <w:spacing w:line="259" w:lineRule="auto"/>
      <w:ind w:left="567" w:firstLine="0"/>
    </w:pPr>
    <w:r>
      <w:rPr>
        <w:rFonts w:ascii="Times New Roman" w:eastAsia="Times New Roman" w:hAnsi="Times New Roman" w:cs="Times New Roman"/>
        <w:sz w:val="16"/>
      </w:rPr>
      <w:t>https://www.coursehero.com/file/37704051/PSY-201-Module-5-Article-Critique-Engagement-Stratagiesdocx/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50D" w:rsidRDefault="0072050D">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50D" w:rsidRDefault="0072050D">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6480" w:rsidRDefault="005B6480">
      <w:pPr>
        <w:spacing w:line="240" w:lineRule="auto"/>
      </w:pPr>
      <w:r>
        <w:separator/>
      </w:r>
    </w:p>
  </w:footnote>
  <w:footnote w:type="continuationSeparator" w:id="0">
    <w:p w:rsidR="005B6480" w:rsidRDefault="005B648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50D" w:rsidRDefault="005B6480">
    <w:pPr>
      <w:tabs>
        <w:tab w:val="center" w:pos="4108"/>
        <w:tab w:val="center" w:pos="7205"/>
      </w:tabs>
      <w:spacing w:line="259" w:lineRule="auto"/>
      <w:ind w:left="0" w:firstLine="0"/>
    </w:pPr>
    <w:r>
      <w:rPr>
        <w:sz w:val="22"/>
      </w:rPr>
      <w:tab/>
    </w:r>
    <w:r>
      <w:t>ARTICLE CRITIQUE: ENGAGEMENT STRATAGIES</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50D" w:rsidRDefault="0072050D">
    <w:pPr>
      <w:tabs>
        <w:tab w:val="center" w:pos="4108"/>
        <w:tab w:val="center" w:pos="7205"/>
      </w:tabs>
      <w:spacing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50D" w:rsidRDefault="0072050D">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50D"/>
    <w:rsid w:val="005B6480"/>
    <w:rsid w:val="0072050D"/>
    <w:rsid w:val="00C45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8FE2B7-447E-4F8C-871B-37F2A647B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784</Words>
  <Characters>4474</Characters>
  <Application>Microsoft Office Word</Application>
  <DocSecurity>0</DocSecurity>
  <Lines>37</Lines>
  <Paragraphs>10</Paragraphs>
  <ScaleCrop>false</ScaleCrop>
  <Company/>
  <LinksUpToDate>false</LinksUpToDate>
  <CharactersWithSpaces>5248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100000784599852,CHDL-UGC-Meta</cp:keywords>
  <cp:lastModifiedBy>Microsoft account</cp:lastModifiedBy>
  <cp:revision>2</cp:revision>
  <dcterms:created xsi:type="dcterms:W3CDTF">2022-08-30T08:44:00Z</dcterms:created>
  <dcterms:modified xsi:type="dcterms:W3CDTF">2022-08-30T08:44:00Z</dcterms:modified>
</cp:coreProperties>
</file>