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776E" w:rsidRPr="005D776E" w:rsidRDefault="005D776E" w:rsidP="005D776E">
      <w:pPr>
        <w:shd w:val="clear" w:color="auto" w:fill="FFFFFF"/>
        <w:spacing w:after="144" w:line="240" w:lineRule="auto"/>
        <w:outlineLvl w:val="1"/>
        <w:rPr>
          <w:rFonts w:ascii="Segoe UI" w:eastAsia="Times New Roman" w:hAnsi="Segoe UI" w:cs="Segoe UI"/>
          <w:color w:val="071D37"/>
          <w:sz w:val="36"/>
          <w:szCs w:val="36"/>
          <w:lang w:eastAsia="en-IN"/>
        </w:rPr>
      </w:pPr>
      <w:r w:rsidRPr="005D776E">
        <w:rPr>
          <w:rFonts w:ascii="Segoe UI" w:eastAsia="Times New Roman" w:hAnsi="Segoe UI" w:cs="Segoe UI"/>
          <w:color w:val="071D37"/>
          <w:sz w:val="36"/>
          <w:szCs w:val="36"/>
          <w:lang w:eastAsia="en-IN"/>
        </w:rPr>
        <w:t>Sample Title 1:</w:t>
      </w:r>
    </w:p>
    <w:p w:rsidR="005D776E" w:rsidRPr="005D776E" w:rsidRDefault="005D776E" w:rsidP="005D776E">
      <w:pPr>
        <w:shd w:val="clear" w:color="auto" w:fill="FFFFFF"/>
        <w:spacing w:after="96" w:line="240" w:lineRule="auto"/>
        <w:outlineLvl w:val="2"/>
        <w:rPr>
          <w:rFonts w:ascii="Segoe UI" w:eastAsia="Times New Roman" w:hAnsi="Segoe UI" w:cs="Segoe UI"/>
          <w:color w:val="212529"/>
          <w:sz w:val="31"/>
          <w:szCs w:val="31"/>
          <w:lang w:eastAsia="en-IN"/>
        </w:rPr>
      </w:pPr>
      <w:r w:rsidRPr="005D776E">
        <w:rPr>
          <w:rFonts w:ascii="Segoe UI" w:eastAsia="Times New Roman" w:hAnsi="Segoe UI" w:cs="Segoe UI"/>
          <w:color w:val="212529"/>
          <w:sz w:val="31"/>
          <w:szCs w:val="31"/>
          <w:lang w:eastAsia="en-IN"/>
        </w:rPr>
        <w:t>Innovative Financial Instruments</w:t>
      </w:r>
    </w:p>
    <w:p w:rsidR="005D776E" w:rsidRPr="005D776E" w:rsidRDefault="005D776E" w:rsidP="005D776E">
      <w:pPr>
        <w:shd w:val="clear" w:color="auto" w:fill="FFFFFF"/>
        <w:spacing w:after="100" w:afterAutospacing="1" w:line="240" w:lineRule="auto"/>
        <w:rPr>
          <w:rFonts w:ascii="Segoe UI" w:eastAsia="Times New Roman" w:hAnsi="Segoe UI" w:cs="Segoe UI"/>
          <w:color w:val="212529"/>
          <w:sz w:val="24"/>
          <w:szCs w:val="24"/>
          <w:lang w:eastAsia="en-IN"/>
        </w:rPr>
      </w:pPr>
      <w:r w:rsidRPr="005D776E">
        <w:rPr>
          <w:rFonts w:ascii="Segoe UI" w:eastAsia="Times New Roman" w:hAnsi="Segoe UI" w:cs="Segoe UI"/>
          <w:color w:val="212529"/>
          <w:sz w:val="24"/>
          <w:szCs w:val="24"/>
          <w:lang w:eastAsia="en-IN"/>
        </w:rPr>
        <w:t xml:space="preserve">The modern financial system has been characterised by the high pace of innovation. They have in fact played a significant role in the development of the global financial crisis and have thus attracted significant attention in recent years (Appel, 2015). It however needs to </w:t>
      </w:r>
      <w:proofErr w:type="gramStart"/>
      <w:r w:rsidRPr="005D776E">
        <w:rPr>
          <w:rFonts w:ascii="Segoe UI" w:eastAsia="Times New Roman" w:hAnsi="Segoe UI" w:cs="Segoe UI"/>
          <w:color w:val="212529"/>
          <w:sz w:val="24"/>
          <w:szCs w:val="24"/>
          <w:lang w:eastAsia="en-IN"/>
        </w:rPr>
        <w:t>be pointed out</w:t>
      </w:r>
      <w:proofErr w:type="gramEnd"/>
      <w:r w:rsidRPr="005D776E">
        <w:rPr>
          <w:rFonts w:ascii="Segoe UI" w:eastAsia="Times New Roman" w:hAnsi="Segoe UI" w:cs="Segoe UI"/>
          <w:color w:val="212529"/>
          <w:sz w:val="24"/>
          <w:szCs w:val="24"/>
          <w:lang w:eastAsia="en-IN"/>
        </w:rPr>
        <w:t xml:space="preserve"> that information on innovative financial instruments is currently rather unstructured and it is necessary to systematise existing knowledge on the subject (European </w:t>
      </w:r>
      <w:proofErr w:type="spellStart"/>
      <w:r w:rsidRPr="005D776E">
        <w:rPr>
          <w:rFonts w:ascii="Segoe UI" w:eastAsia="Times New Roman" w:hAnsi="Segoe UI" w:cs="Segoe UI"/>
          <w:color w:val="212529"/>
          <w:sz w:val="24"/>
          <w:szCs w:val="24"/>
          <w:lang w:eastAsia="en-IN"/>
        </w:rPr>
        <w:t>Commision</w:t>
      </w:r>
      <w:proofErr w:type="spellEnd"/>
      <w:r w:rsidRPr="005D776E">
        <w:rPr>
          <w:rFonts w:ascii="Segoe UI" w:eastAsia="Times New Roman" w:hAnsi="Segoe UI" w:cs="Segoe UI"/>
          <w:color w:val="212529"/>
          <w:sz w:val="24"/>
          <w:szCs w:val="24"/>
          <w:lang w:eastAsia="en-IN"/>
        </w:rPr>
        <w:t xml:space="preserve">, 2011). The proposed paper will thus explore various aspects of financial innovation and their role in the contemporary financial system. It will focus on sources of innovation, motives for development of innovation and their role and impact. It </w:t>
      </w:r>
      <w:proofErr w:type="gramStart"/>
      <w:r w:rsidRPr="005D776E">
        <w:rPr>
          <w:rFonts w:ascii="Segoe UI" w:eastAsia="Times New Roman" w:hAnsi="Segoe UI" w:cs="Segoe UI"/>
          <w:color w:val="212529"/>
          <w:sz w:val="24"/>
          <w:szCs w:val="24"/>
          <w:lang w:eastAsia="en-IN"/>
        </w:rPr>
        <w:t>is expected</w:t>
      </w:r>
      <w:proofErr w:type="gramEnd"/>
      <w:r w:rsidRPr="005D776E">
        <w:rPr>
          <w:rFonts w:ascii="Segoe UI" w:eastAsia="Times New Roman" w:hAnsi="Segoe UI" w:cs="Segoe UI"/>
          <w:color w:val="212529"/>
          <w:sz w:val="24"/>
          <w:szCs w:val="24"/>
          <w:lang w:eastAsia="en-IN"/>
        </w:rPr>
        <w:t xml:space="preserve"> that the execution of the dissertation will result in a systematic exploration of the subject and in encourage further research on the subject.</w:t>
      </w:r>
    </w:p>
    <w:p w:rsidR="005D776E" w:rsidRPr="005D776E" w:rsidRDefault="005D776E" w:rsidP="005D776E">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5D776E">
        <w:rPr>
          <w:rFonts w:ascii="Segoe UI" w:eastAsia="Times New Roman" w:hAnsi="Segoe UI" w:cs="Segoe UI"/>
          <w:color w:val="212529"/>
          <w:sz w:val="26"/>
          <w:szCs w:val="26"/>
          <w:lang w:eastAsia="en-IN"/>
        </w:rPr>
        <w:t>References</w:t>
      </w:r>
    </w:p>
    <w:p w:rsidR="005D776E" w:rsidRPr="005D776E" w:rsidRDefault="005D776E" w:rsidP="005D776E">
      <w:pPr>
        <w:shd w:val="clear" w:color="auto" w:fill="FFFFFF"/>
        <w:spacing w:after="100" w:afterAutospacing="1" w:line="240" w:lineRule="auto"/>
        <w:rPr>
          <w:rFonts w:ascii="Segoe UI" w:eastAsia="Times New Roman" w:hAnsi="Segoe UI" w:cs="Segoe UI"/>
          <w:color w:val="212529"/>
          <w:sz w:val="24"/>
          <w:szCs w:val="24"/>
          <w:lang w:eastAsia="en-IN"/>
        </w:rPr>
      </w:pPr>
      <w:r w:rsidRPr="005D776E">
        <w:rPr>
          <w:rFonts w:ascii="Segoe UI" w:eastAsia="Times New Roman" w:hAnsi="Segoe UI" w:cs="Segoe UI"/>
          <w:color w:val="212529"/>
          <w:sz w:val="24"/>
          <w:szCs w:val="24"/>
          <w:lang w:eastAsia="en-IN"/>
        </w:rPr>
        <w:t>Appel, S., (2015), </w:t>
      </w:r>
      <w:r w:rsidRPr="005D776E">
        <w:rPr>
          <w:rFonts w:ascii="Segoe UI" w:eastAsia="Times New Roman" w:hAnsi="Segoe UI" w:cs="Segoe UI"/>
          <w:i/>
          <w:iCs/>
          <w:color w:val="212529"/>
          <w:sz w:val="24"/>
          <w:szCs w:val="24"/>
          <w:lang w:eastAsia="en-IN"/>
        </w:rPr>
        <w:t>Experience with financial instruments in the period of 2007-2013 an the new framework for the period of 2014-2020</w:t>
      </w:r>
      <w:r w:rsidRPr="005D776E">
        <w:rPr>
          <w:rFonts w:ascii="Segoe UI" w:eastAsia="Times New Roman" w:hAnsi="Segoe UI" w:cs="Segoe UI"/>
          <w:color w:val="212529"/>
          <w:sz w:val="24"/>
          <w:szCs w:val="24"/>
          <w:lang w:eastAsia="en-IN"/>
        </w:rPr>
        <w:t>, Brussels: European Commission.</w:t>
      </w:r>
    </w:p>
    <w:p w:rsidR="005D776E" w:rsidRPr="005D776E" w:rsidRDefault="005D776E" w:rsidP="005D776E">
      <w:pPr>
        <w:shd w:val="clear" w:color="auto" w:fill="FFFFFF"/>
        <w:spacing w:after="100" w:afterAutospacing="1" w:line="240" w:lineRule="auto"/>
        <w:rPr>
          <w:rFonts w:ascii="Segoe UI" w:eastAsia="Times New Roman" w:hAnsi="Segoe UI" w:cs="Segoe UI"/>
          <w:color w:val="212529"/>
          <w:sz w:val="24"/>
          <w:szCs w:val="24"/>
          <w:lang w:eastAsia="en-IN"/>
        </w:rPr>
      </w:pPr>
      <w:r w:rsidRPr="005D776E">
        <w:rPr>
          <w:rFonts w:ascii="Segoe UI" w:eastAsia="Times New Roman" w:hAnsi="Segoe UI" w:cs="Segoe UI"/>
          <w:color w:val="212529"/>
          <w:sz w:val="24"/>
          <w:szCs w:val="24"/>
          <w:lang w:eastAsia="en-IN"/>
        </w:rPr>
        <w:t xml:space="preserve">European </w:t>
      </w:r>
      <w:proofErr w:type="spellStart"/>
      <w:r w:rsidRPr="005D776E">
        <w:rPr>
          <w:rFonts w:ascii="Segoe UI" w:eastAsia="Times New Roman" w:hAnsi="Segoe UI" w:cs="Segoe UI"/>
          <w:color w:val="212529"/>
          <w:sz w:val="24"/>
          <w:szCs w:val="24"/>
          <w:lang w:eastAsia="en-IN"/>
        </w:rPr>
        <w:t>Commision</w:t>
      </w:r>
      <w:proofErr w:type="spellEnd"/>
      <w:r w:rsidRPr="005D776E">
        <w:rPr>
          <w:rFonts w:ascii="Segoe UI" w:eastAsia="Times New Roman" w:hAnsi="Segoe UI" w:cs="Segoe UI"/>
          <w:color w:val="212529"/>
          <w:sz w:val="24"/>
          <w:szCs w:val="24"/>
          <w:lang w:eastAsia="en-IN"/>
        </w:rPr>
        <w:t>, (2011b), </w:t>
      </w:r>
      <w:r w:rsidRPr="005D776E">
        <w:rPr>
          <w:rFonts w:ascii="Segoe UI" w:eastAsia="Times New Roman" w:hAnsi="Segoe UI" w:cs="Segoe UI"/>
          <w:i/>
          <w:iCs/>
          <w:color w:val="212529"/>
          <w:sz w:val="24"/>
          <w:szCs w:val="24"/>
          <w:lang w:eastAsia="en-IN"/>
        </w:rPr>
        <w:t>Innovative Financial Instruments: the Commission adopts a Communication presenting its view on the future of such instruments in EU budget spending</w:t>
      </w:r>
      <w:r w:rsidRPr="005D776E">
        <w:rPr>
          <w:rFonts w:ascii="Segoe UI" w:eastAsia="Times New Roman" w:hAnsi="Segoe UI" w:cs="Segoe UI"/>
          <w:color w:val="212529"/>
          <w:sz w:val="24"/>
          <w:szCs w:val="24"/>
          <w:lang w:eastAsia="en-IN"/>
        </w:rPr>
        <w:t>, Brussels; European Commission.</w:t>
      </w:r>
    </w:p>
    <w:p w:rsidR="005D776E" w:rsidRPr="005D776E" w:rsidRDefault="005D776E" w:rsidP="005D776E">
      <w:pPr>
        <w:shd w:val="clear" w:color="auto" w:fill="FFFFFF"/>
        <w:spacing w:after="144" w:line="240" w:lineRule="auto"/>
        <w:outlineLvl w:val="1"/>
        <w:rPr>
          <w:rFonts w:ascii="Segoe UI" w:eastAsia="Times New Roman" w:hAnsi="Segoe UI" w:cs="Segoe UI"/>
          <w:color w:val="071D37"/>
          <w:sz w:val="36"/>
          <w:szCs w:val="36"/>
          <w:lang w:eastAsia="en-IN"/>
        </w:rPr>
      </w:pPr>
      <w:bookmarkStart w:id="0" w:name="_GoBack"/>
      <w:bookmarkEnd w:id="0"/>
      <w:r w:rsidRPr="005D776E">
        <w:rPr>
          <w:rFonts w:ascii="Segoe UI" w:eastAsia="Times New Roman" w:hAnsi="Segoe UI" w:cs="Segoe UI"/>
          <w:color w:val="071D37"/>
          <w:sz w:val="36"/>
          <w:szCs w:val="36"/>
          <w:lang w:eastAsia="en-IN"/>
        </w:rPr>
        <w:t>Sample Title 2:</w:t>
      </w:r>
    </w:p>
    <w:p w:rsidR="005D776E" w:rsidRPr="005D776E" w:rsidRDefault="005D776E" w:rsidP="005D776E">
      <w:pPr>
        <w:shd w:val="clear" w:color="auto" w:fill="FFFFFF"/>
        <w:spacing w:after="96" w:line="240" w:lineRule="auto"/>
        <w:outlineLvl w:val="2"/>
        <w:rPr>
          <w:rFonts w:ascii="Segoe UI" w:eastAsia="Times New Roman" w:hAnsi="Segoe UI" w:cs="Segoe UI"/>
          <w:color w:val="212529"/>
          <w:sz w:val="31"/>
          <w:szCs w:val="31"/>
          <w:lang w:eastAsia="en-IN"/>
        </w:rPr>
      </w:pPr>
      <w:r w:rsidRPr="005D776E">
        <w:rPr>
          <w:rFonts w:ascii="Segoe UI" w:eastAsia="Times New Roman" w:hAnsi="Segoe UI" w:cs="Segoe UI"/>
          <w:color w:val="212529"/>
          <w:sz w:val="31"/>
          <w:szCs w:val="31"/>
          <w:lang w:eastAsia="en-IN"/>
        </w:rPr>
        <w:t>Role of Innovative Financial Instruments in Development of Financial Crisis</w:t>
      </w:r>
    </w:p>
    <w:p w:rsidR="005D776E" w:rsidRPr="005D776E" w:rsidRDefault="005D776E" w:rsidP="005D776E">
      <w:pPr>
        <w:shd w:val="clear" w:color="auto" w:fill="FFFFFF"/>
        <w:spacing w:after="100" w:afterAutospacing="1" w:line="240" w:lineRule="auto"/>
        <w:rPr>
          <w:rFonts w:ascii="Segoe UI" w:eastAsia="Times New Roman" w:hAnsi="Segoe UI" w:cs="Segoe UI"/>
          <w:color w:val="212529"/>
          <w:sz w:val="24"/>
          <w:szCs w:val="24"/>
          <w:lang w:eastAsia="en-IN"/>
        </w:rPr>
      </w:pPr>
      <w:r w:rsidRPr="005D776E">
        <w:rPr>
          <w:rFonts w:ascii="Segoe UI" w:eastAsia="Times New Roman" w:hAnsi="Segoe UI" w:cs="Segoe UI"/>
          <w:color w:val="212529"/>
          <w:sz w:val="24"/>
          <w:szCs w:val="24"/>
          <w:lang w:eastAsia="en-IN"/>
        </w:rPr>
        <w:t>There is wide agreement that the use of innovative securities played a core role in the development of the financial crisis and turmoil of 2007-2008 (</w:t>
      </w:r>
      <w:proofErr w:type="spellStart"/>
      <w:r w:rsidRPr="005D776E">
        <w:rPr>
          <w:rFonts w:ascii="Segoe UI" w:eastAsia="Times New Roman" w:hAnsi="Segoe UI" w:cs="Segoe UI"/>
          <w:color w:val="212529"/>
          <w:sz w:val="24"/>
          <w:szCs w:val="24"/>
          <w:lang w:eastAsia="en-IN"/>
        </w:rPr>
        <w:t>Dabrowski</w:t>
      </w:r>
      <w:proofErr w:type="spellEnd"/>
      <w:r w:rsidRPr="005D776E">
        <w:rPr>
          <w:rFonts w:ascii="Segoe UI" w:eastAsia="Times New Roman" w:hAnsi="Segoe UI" w:cs="Segoe UI"/>
          <w:color w:val="212529"/>
          <w:sz w:val="24"/>
          <w:szCs w:val="24"/>
          <w:lang w:eastAsia="en-IN"/>
        </w:rPr>
        <w:t>, 2017). Bundling and securitisation of subprime residential mortgages and their further engineering into complicated structured securities aided the transfer of losses to investors and markets across the world (</w:t>
      </w:r>
      <w:proofErr w:type="spellStart"/>
      <w:r w:rsidRPr="005D776E">
        <w:rPr>
          <w:rFonts w:ascii="Segoe UI" w:eastAsia="Times New Roman" w:hAnsi="Segoe UI" w:cs="Segoe UI"/>
          <w:color w:val="212529"/>
          <w:sz w:val="24"/>
          <w:szCs w:val="24"/>
          <w:lang w:eastAsia="en-IN"/>
        </w:rPr>
        <w:t>Dabrowski</w:t>
      </w:r>
      <w:proofErr w:type="spellEnd"/>
      <w:r w:rsidRPr="005D776E">
        <w:rPr>
          <w:rFonts w:ascii="Segoe UI" w:eastAsia="Times New Roman" w:hAnsi="Segoe UI" w:cs="Segoe UI"/>
          <w:color w:val="212529"/>
          <w:sz w:val="24"/>
          <w:szCs w:val="24"/>
          <w:lang w:eastAsia="en-IN"/>
        </w:rPr>
        <w:t>, 2017). Several other innovations, market structure and security design also resulted in the exacerbation of the financial turmoil (</w:t>
      </w:r>
      <w:proofErr w:type="spellStart"/>
      <w:r w:rsidRPr="005D776E">
        <w:rPr>
          <w:rFonts w:ascii="Segoe UI" w:eastAsia="Times New Roman" w:hAnsi="Segoe UI" w:cs="Segoe UI"/>
          <w:color w:val="212529"/>
          <w:sz w:val="24"/>
          <w:szCs w:val="24"/>
          <w:lang w:eastAsia="en-IN"/>
        </w:rPr>
        <w:t>Bernholz</w:t>
      </w:r>
      <w:proofErr w:type="spellEnd"/>
      <w:r w:rsidRPr="005D776E">
        <w:rPr>
          <w:rFonts w:ascii="Segoe UI" w:eastAsia="Times New Roman" w:hAnsi="Segoe UI" w:cs="Segoe UI"/>
          <w:color w:val="212529"/>
          <w:sz w:val="24"/>
          <w:szCs w:val="24"/>
          <w:lang w:eastAsia="en-IN"/>
        </w:rPr>
        <w:t xml:space="preserve"> &amp; </w:t>
      </w:r>
      <w:proofErr w:type="spellStart"/>
      <w:r w:rsidRPr="005D776E">
        <w:rPr>
          <w:rFonts w:ascii="Segoe UI" w:eastAsia="Times New Roman" w:hAnsi="Segoe UI" w:cs="Segoe UI"/>
          <w:color w:val="212529"/>
          <w:sz w:val="24"/>
          <w:szCs w:val="24"/>
          <w:lang w:eastAsia="en-IN"/>
        </w:rPr>
        <w:t>Vaubel</w:t>
      </w:r>
      <w:proofErr w:type="spellEnd"/>
      <w:r w:rsidRPr="005D776E">
        <w:rPr>
          <w:rFonts w:ascii="Segoe UI" w:eastAsia="Times New Roman" w:hAnsi="Segoe UI" w:cs="Segoe UI"/>
          <w:color w:val="212529"/>
          <w:sz w:val="24"/>
          <w:szCs w:val="24"/>
          <w:lang w:eastAsia="en-IN"/>
        </w:rPr>
        <w:t>, 2014). It is thus interesting to study the impact of financial innovation and whether linkages do exist between innovation and the possibility of financial crisis. The proposed dissertation will probe at in-depth into the role of innovative financial instruments in the global financial crisis and attempt to determine the relationship between innovative financial instruments and the emergence of further financial difficulties across the world.</w:t>
      </w:r>
    </w:p>
    <w:p w:rsidR="005D776E" w:rsidRPr="005D776E" w:rsidRDefault="005D776E" w:rsidP="005D776E">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5D776E">
        <w:rPr>
          <w:rFonts w:ascii="Segoe UI" w:eastAsia="Times New Roman" w:hAnsi="Segoe UI" w:cs="Segoe UI"/>
          <w:color w:val="212529"/>
          <w:sz w:val="26"/>
          <w:szCs w:val="26"/>
          <w:lang w:eastAsia="en-IN"/>
        </w:rPr>
        <w:t>References</w:t>
      </w:r>
    </w:p>
    <w:p w:rsidR="005D776E" w:rsidRPr="005D776E" w:rsidRDefault="005D776E" w:rsidP="005D776E">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5D776E">
        <w:rPr>
          <w:rFonts w:ascii="Segoe UI" w:eastAsia="Times New Roman" w:hAnsi="Segoe UI" w:cs="Segoe UI"/>
          <w:color w:val="212529"/>
          <w:sz w:val="24"/>
          <w:szCs w:val="24"/>
          <w:lang w:eastAsia="en-IN"/>
        </w:rPr>
        <w:lastRenderedPageBreak/>
        <w:t>Bernholz</w:t>
      </w:r>
      <w:proofErr w:type="spellEnd"/>
      <w:r w:rsidRPr="005D776E">
        <w:rPr>
          <w:rFonts w:ascii="Segoe UI" w:eastAsia="Times New Roman" w:hAnsi="Segoe UI" w:cs="Segoe UI"/>
          <w:color w:val="212529"/>
          <w:sz w:val="24"/>
          <w:szCs w:val="24"/>
          <w:lang w:eastAsia="en-IN"/>
        </w:rPr>
        <w:t xml:space="preserve">, P., &amp; </w:t>
      </w:r>
      <w:proofErr w:type="spellStart"/>
      <w:r w:rsidRPr="005D776E">
        <w:rPr>
          <w:rFonts w:ascii="Segoe UI" w:eastAsia="Times New Roman" w:hAnsi="Segoe UI" w:cs="Segoe UI"/>
          <w:color w:val="212529"/>
          <w:sz w:val="24"/>
          <w:szCs w:val="24"/>
          <w:lang w:eastAsia="en-IN"/>
        </w:rPr>
        <w:t>Vaubel</w:t>
      </w:r>
      <w:proofErr w:type="spellEnd"/>
      <w:r w:rsidRPr="005D776E">
        <w:rPr>
          <w:rFonts w:ascii="Segoe UI" w:eastAsia="Times New Roman" w:hAnsi="Segoe UI" w:cs="Segoe UI"/>
          <w:color w:val="212529"/>
          <w:sz w:val="24"/>
          <w:szCs w:val="24"/>
          <w:lang w:eastAsia="en-IN"/>
        </w:rPr>
        <w:t>, R., (2014), </w:t>
      </w:r>
      <w:r w:rsidRPr="005D776E">
        <w:rPr>
          <w:rFonts w:ascii="Segoe UI" w:eastAsia="Times New Roman" w:hAnsi="Segoe UI" w:cs="Segoe UI"/>
          <w:i/>
          <w:iCs/>
          <w:color w:val="212529"/>
          <w:sz w:val="24"/>
          <w:szCs w:val="24"/>
          <w:lang w:eastAsia="en-IN"/>
        </w:rPr>
        <w:t>Explaining Monetary and Financial Innovation: A Historical Analysis</w:t>
      </w:r>
      <w:r w:rsidRPr="005D776E">
        <w:rPr>
          <w:rFonts w:ascii="Segoe UI" w:eastAsia="Times New Roman" w:hAnsi="Segoe UI" w:cs="Segoe UI"/>
          <w:color w:val="212529"/>
          <w:sz w:val="24"/>
          <w:szCs w:val="24"/>
          <w:lang w:eastAsia="en-IN"/>
        </w:rPr>
        <w:t>, NY: Springer International Publishing.</w:t>
      </w:r>
    </w:p>
    <w:p w:rsidR="005D776E" w:rsidRPr="005D776E" w:rsidRDefault="005D776E" w:rsidP="005D776E">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5D776E">
        <w:rPr>
          <w:rFonts w:ascii="Segoe UI" w:eastAsia="Times New Roman" w:hAnsi="Segoe UI" w:cs="Segoe UI"/>
          <w:color w:val="212529"/>
          <w:sz w:val="24"/>
          <w:szCs w:val="24"/>
          <w:lang w:eastAsia="en-IN"/>
        </w:rPr>
        <w:t>Dabrowski</w:t>
      </w:r>
      <w:proofErr w:type="spellEnd"/>
      <w:r w:rsidRPr="005D776E">
        <w:rPr>
          <w:rFonts w:ascii="Segoe UI" w:eastAsia="Times New Roman" w:hAnsi="Segoe UI" w:cs="Segoe UI"/>
          <w:color w:val="212529"/>
          <w:sz w:val="24"/>
          <w:szCs w:val="24"/>
          <w:lang w:eastAsia="en-IN"/>
        </w:rPr>
        <w:t>, M., (2017), “</w:t>
      </w:r>
      <w:r w:rsidRPr="005D776E">
        <w:rPr>
          <w:rFonts w:ascii="Segoe UI" w:eastAsia="Times New Roman" w:hAnsi="Segoe UI" w:cs="Segoe UI"/>
          <w:i/>
          <w:iCs/>
          <w:color w:val="212529"/>
          <w:sz w:val="24"/>
          <w:szCs w:val="24"/>
          <w:lang w:eastAsia="en-IN"/>
        </w:rPr>
        <w:t>Potential impact of financial innovation on financial services and monetary policy</w:t>
      </w:r>
      <w:r w:rsidRPr="005D776E">
        <w:rPr>
          <w:rFonts w:ascii="Segoe UI" w:eastAsia="Times New Roman" w:hAnsi="Segoe UI" w:cs="Segoe UI"/>
          <w:color w:val="212529"/>
          <w:sz w:val="24"/>
          <w:szCs w:val="24"/>
          <w:lang w:eastAsia="en-IN"/>
        </w:rPr>
        <w:t>”, Available at: http://www.case-research.eu/uploads/zalacznik/2017-07-18/Potential_impact_of_financial_innovation_on_financial_services_and_monetary_policy.pdf (accessed August 29, 2018).</w:t>
      </w:r>
    </w:p>
    <w:p w:rsidR="005D776E" w:rsidRPr="005D776E" w:rsidRDefault="005D776E" w:rsidP="005D776E">
      <w:pPr>
        <w:shd w:val="clear" w:color="auto" w:fill="FFFFFF"/>
        <w:spacing w:after="144" w:line="240" w:lineRule="auto"/>
        <w:outlineLvl w:val="1"/>
        <w:rPr>
          <w:rFonts w:ascii="Segoe UI" w:eastAsia="Times New Roman" w:hAnsi="Segoe UI" w:cs="Segoe UI"/>
          <w:color w:val="071D37"/>
          <w:sz w:val="36"/>
          <w:szCs w:val="36"/>
          <w:lang w:eastAsia="en-IN"/>
        </w:rPr>
      </w:pPr>
      <w:r w:rsidRPr="005D776E">
        <w:rPr>
          <w:rFonts w:ascii="Segoe UI" w:eastAsia="Times New Roman" w:hAnsi="Segoe UI" w:cs="Segoe UI"/>
          <w:color w:val="071D37"/>
          <w:sz w:val="36"/>
          <w:szCs w:val="36"/>
          <w:lang w:eastAsia="en-IN"/>
        </w:rPr>
        <w:t>Sample Title 3:</w:t>
      </w:r>
    </w:p>
    <w:p w:rsidR="005D776E" w:rsidRPr="005D776E" w:rsidRDefault="005D776E" w:rsidP="005D776E">
      <w:pPr>
        <w:shd w:val="clear" w:color="auto" w:fill="FFFFFF"/>
        <w:spacing w:after="96" w:line="240" w:lineRule="auto"/>
        <w:outlineLvl w:val="2"/>
        <w:rPr>
          <w:rFonts w:ascii="Segoe UI" w:eastAsia="Times New Roman" w:hAnsi="Segoe UI" w:cs="Segoe UI"/>
          <w:color w:val="212529"/>
          <w:sz w:val="31"/>
          <w:szCs w:val="31"/>
          <w:lang w:eastAsia="en-IN"/>
        </w:rPr>
      </w:pPr>
      <w:r w:rsidRPr="005D776E">
        <w:rPr>
          <w:rFonts w:ascii="Segoe UI" w:eastAsia="Times New Roman" w:hAnsi="Segoe UI" w:cs="Segoe UI"/>
          <w:color w:val="212529"/>
          <w:sz w:val="31"/>
          <w:szCs w:val="31"/>
          <w:lang w:eastAsia="en-IN"/>
        </w:rPr>
        <w:t>The Role of Securitisation in the Transformation of Risky Assets into Safe Securities</w:t>
      </w:r>
    </w:p>
    <w:p w:rsidR="005D776E" w:rsidRPr="005D776E" w:rsidRDefault="005D776E" w:rsidP="005D776E">
      <w:pPr>
        <w:shd w:val="clear" w:color="auto" w:fill="FFFFFF"/>
        <w:spacing w:after="100" w:afterAutospacing="1" w:line="240" w:lineRule="auto"/>
        <w:rPr>
          <w:rFonts w:ascii="Segoe UI" w:eastAsia="Times New Roman" w:hAnsi="Segoe UI" w:cs="Segoe UI"/>
          <w:color w:val="212529"/>
          <w:sz w:val="24"/>
          <w:szCs w:val="24"/>
          <w:lang w:eastAsia="en-IN"/>
        </w:rPr>
      </w:pPr>
      <w:r w:rsidRPr="005D776E">
        <w:rPr>
          <w:rFonts w:ascii="Segoe UI" w:eastAsia="Times New Roman" w:hAnsi="Segoe UI" w:cs="Segoe UI"/>
          <w:color w:val="212529"/>
          <w:sz w:val="24"/>
          <w:szCs w:val="24"/>
          <w:lang w:eastAsia="en-IN"/>
        </w:rPr>
        <w:t>Substantial debate and discussion has occurred on the role of securitisation in the development of the global financial crisis (</w:t>
      </w:r>
      <w:proofErr w:type="spellStart"/>
      <w:r w:rsidRPr="005D776E">
        <w:rPr>
          <w:rFonts w:ascii="Segoe UI" w:eastAsia="Times New Roman" w:hAnsi="Segoe UI" w:cs="Segoe UI"/>
          <w:color w:val="212529"/>
          <w:sz w:val="24"/>
          <w:szCs w:val="24"/>
          <w:lang w:eastAsia="en-IN"/>
        </w:rPr>
        <w:t>Engelen</w:t>
      </w:r>
      <w:proofErr w:type="spellEnd"/>
      <w:r w:rsidRPr="005D776E">
        <w:rPr>
          <w:rFonts w:ascii="Segoe UI" w:eastAsia="Times New Roman" w:hAnsi="Segoe UI" w:cs="Segoe UI"/>
          <w:color w:val="212529"/>
          <w:sz w:val="24"/>
          <w:szCs w:val="24"/>
          <w:lang w:eastAsia="en-IN"/>
        </w:rPr>
        <w:t xml:space="preserve"> &amp; </w:t>
      </w:r>
      <w:proofErr w:type="spellStart"/>
      <w:r w:rsidRPr="005D776E">
        <w:rPr>
          <w:rFonts w:ascii="Segoe UI" w:eastAsia="Times New Roman" w:hAnsi="Segoe UI" w:cs="Segoe UI"/>
          <w:color w:val="212529"/>
          <w:sz w:val="24"/>
          <w:szCs w:val="24"/>
          <w:lang w:eastAsia="en-IN"/>
        </w:rPr>
        <w:t>Glasmacher</w:t>
      </w:r>
      <w:proofErr w:type="spellEnd"/>
      <w:r w:rsidRPr="005D776E">
        <w:rPr>
          <w:rFonts w:ascii="Segoe UI" w:eastAsia="Times New Roman" w:hAnsi="Segoe UI" w:cs="Segoe UI"/>
          <w:color w:val="212529"/>
          <w:sz w:val="24"/>
          <w:szCs w:val="24"/>
          <w:lang w:eastAsia="en-IN"/>
        </w:rPr>
        <w:t xml:space="preserve">, 2018). Lending under the securitisation model constitutes a complex process, wherein loans </w:t>
      </w:r>
      <w:proofErr w:type="gramStart"/>
      <w:r w:rsidRPr="005D776E">
        <w:rPr>
          <w:rFonts w:ascii="Segoe UI" w:eastAsia="Times New Roman" w:hAnsi="Segoe UI" w:cs="Segoe UI"/>
          <w:color w:val="212529"/>
          <w:sz w:val="24"/>
          <w:szCs w:val="24"/>
          <w:lang w:eastAsia="en-IN"/>
        </w:rPr>
        <w:t>are aggregated and developed into diverse securities with dissimilar risk and return characteristics that appeal to different investor groups (</w:t>
      </w:r>
      <w:proofErr w:type="spellStart"/>
      <w:r w:rsidRPr="005D776E">
        <w:rPr>
          <w:rFonts w:ascii="Segoe UI" w:eastAsia="Times New Roman" w:hAnsi="Segoe UI" w:cs="Segoe UI"/>
          <w:color w:val="212529"/>
          <w:sz w:val="24"/>
          <w:szCs w:val="24"/>
          <w:lang w:eastAsia="en-IN"/>
        </w:rPr>
        <w:t>Wijburg</w:t>
      </w:r>
      <w:proofErr w:type="spellEnd"/>
      <w:r w:rsidRPr="005D776E">
        <w:rPr>
          <w:rFonts w:ascii="Segoe UI" w:eastAsia="Times New Roman" w:hAnsi="Segoe UI" w:cs="Segoe UI"/>
          <w:color w:val="212529"/>
          <w:sz w:val="24"/>
          <w:szCs w:val="24"/>
          <w:lang w:eastAsia="en-IN"/>
        </w:rPr>
        <w:t xml:space="preserve"> &amp; </w:t>
      </w:r>
      <w:proofErr w:type="spellStart"/>
      <w:r w:rsidRPr="005D776E">
        <w:rPr>
          <w:rFonts w:ascii="Segoe UI" w:eastAsia="Times New Roman" w:hAnsi="Segoe UI" w:cs="Segoe UI"/>
          <w:color w:val="212529"/>
          <w:sz w:val="24"/>
          <w:szCs w:val="24"/>
          <w:lang w:eastAsia="en-IN"/>
        </w:rPr>
        <w:t>Aalbers</w:t>
      </w:r>
      <w:proofErr w:type="spellEnd"/>
      <w:r w:rsidRPr="005D776E">
        <w:rPr>
          <w:rFonts w:ascii="Segoe UI" w:eastAsia="Times New Roman" w:hAnsi="Segoe UI" w:cs="Segoe UI"/>
          <w:color w:val="212529"/>
          <w:sz w:val="24"/>
          <w:szCs w:val="24"/>
          <w:lang w:eastAsia="en-IN"/>
        </w:rPr>
        <w:t>, 2017)</w:t>
      </w:r>
      <w:proofErr w:type="gramEnd"/>
      <w:r w:rsidRPr="005D776E">
        <w:rPr>
          <w:rFonts w:ascii="Segoe UI" w:eastAsia="Times New Roman" w:hAnsi="Segoe UI" w:cs="Segoe UI"/>
          <w:color w:val="212529"/>
          <w:sz w:val="24"/>
          <w:szCs w:val="24"/>
          <w:lang w:eastAsia="en-IN"/>
        </w:rPr>
        <w:t>. These securities thereafter become inputs for the conduct of further securitisation activities (</w:t>
      </w:r>
      <w:proofErr w:type="spellStart"/>
      <w:r w:rsidRPr="005D776E">
        <w:rPr>
          <w:rFonts w:ascii="Segoe UI" w:eastAsia="Times New Roman" w:hAnsi="Segoe UI" w:cs="Segoe UI"/>
          <w:color w:val="212529"/>
          <w:sz w:val="24"/>
          <w:szCs w:val="24"/>
          <w:lang w:eastAsia="en-IN"/>
        </w:rPr>
        <w:t>Wijburg</w:t>
      </w:r>
      <w:proofErr w:type="spellEnd"/>
      <w:r w:rsidRPr="005D776E">
        <w:rPr>
          <w:rFonts w:ascii="Segoe UI" w:eastAsia="Times New Roman" w:hAnsi="Segoe UI" w:cs="Segoe UI"/>
          <w:color w:val="212529"/>
          <w:sz w:val="24"/>
          <w:szCs w:val="24"/>
          <w:lang w:eastAsia="en-IN"/>
        </w:rPr>
        <w:t xml:space="preserve"> &amp; </w:t>
      </w:r>
      <w:proofErr w:type="spellStart"/>
      <w:r w:rsidRPr="005D776E">
        <w:rPr>
          <w:rFonts w:ascii="Segoe UI" w:eastAsia="Times New Roman" w:hAnsi="Segoe UI" w:cs="Segoe UI"/>
          <w:color w:val="212529"/>
          <w:sz w:val="24"/>
          <w:szCs w:val="24"/>
          <w:lang w:eastAsia="en-IN"/>
        </w:rPr>
        <w:t>Aalbers</w:t>
      </w:r>
      <w:proofErr w:type="spellEnd"/>
      <w:r w:rsidRPr="005D776E">
        <w:rPr>
          <w:rFonts w:ascii="Segoe UI" w:eastAsia="Times New Roman" w:hAnsi="Segoe UI" w:cs="Segoe UI"/>
          <w:color w:val="212529"/>
          <w:sz w:val="24"/>
          <w:szCs w:val="24"/>
          <w:lang w:eastAsia="en-IN"/>
        </w:rPr>
        <w:t xml:space="preserve">, 2017). The objective of a securitisation process is concerned with the creation of instruments that </w:t>
      </w:r>
      <w:proofErr w:type="gramStart"/>
      <w:r w:rsidRPr="005D776E">
        <w:rPr>
          <w:rFonts w:ascii="Segoe UI" w:eastAsia="Times New Roman" w:hAnsi="Segoe UI" w:cs="Segoe UI"/>
          <w:color w:val="212529"/>
          <w:sz w:val="24"/>
          <w:szCs w:val="24"/>
          <w:lang w:eastAsia="en-IN"/>
        </w:rPr>
        <w:t>can be placed</w:t>
      </w:r>
      <w:proofErr w:type="gramEnd"/>
      <w:r w:rsidRPr="005D776E">
        <w:rPr>
          <w:rFonts w:ascii="Segoe UI" w:eastAsia="Times New Roman" w:hAnsi="Segoe UI" w:cs="Segoe UI"/>
          <w:color w:val="212529"/>
          <w:sz w:val="24"/>
          <w:szCs w:val="24"/>
          <w:lang w:eastAsia="en-IN"/>
        </w:rPr>
        <w:t xml:space="preserve"> for sale in the market (</w:t>
      </w:r>
      <w:proofErr w:type="spellStart"/>
      <w:r w:rsidRPr="005D776E">
        <w:rPr>
          <w:rFonts w:ascii="Segoe UI" w:eastAsia="Times New Roman" w:hAnsi="Segoe UI" w:cs="Segoe UI"/>
          <w:color w:val="212529"/>
          <w:sz w:val="24"/>
          <w:szCs w:val="24"/>
          <w:lang w:eastAsia="en-IN"/>
        </w:rPr>
        <w:t>Engelen</w:t>
      </w:r>
      <w:proofErr w:type="spellEnd"/>
      <w:r w:rsidRPr="005D776E">
        <w:rPr>
          <w:rFonts w:ascii="Segoe UI" w:eastAsia="Times New Roman" w:hAnsi="Segoe UI" w:cs="Segoe UI"/>
          <w:color w:val="212529"/>
          <w:sz w:val="24"/>
          <w:szCs w:val="24"/>
          <w:lang w:eastAsia="en-IN"/>
        </w:rPr>
        <w:t xml:space="preserve"> &amp; </w:t>
      </w:r>
      <w:proofErr w:type="spellStart"/>
      <w:r w:rsidRPr="005D776E">
        <w:rPr>
          <w:rFonts w:ascii="Segoe UI" w:eastAsia="Times New Roman" w:hAnsi="Segoe UI" w:cs="Segoe UI"/>
          <w:color w:val="212529"/>
          <w:sz w:val="24"/>
          <w:szCs w:val="24"/>
          <w:lang w:eastAsia="en-IN"/>
        </w:rPr>
        <w:t>Glasmacher</w:t>
      </w:r>
      <w:proofErr w:type="spellEnd"/>
      <w:r w:rsidRPr="005D776E">
        <w:rPr>
          <w:rFonts w:ascii="Segoe UI" w:eastAsia="Times New Roman" w:hAnsi="Segoe UI" w:cs="Segoe UI"/>
          <w:color w:val="212529"/>
          <w:sz w:val="24"/>
          <w:szCs w:val="24"/>
          <w:lang w:eastAsia="en-IN"/>
        </w:rPr>
        <w:t xml:space="preserve">, 2018). It is thus important to investigate and analyse the ways in which securitisation </w:t>
      </w:r>
      <w:proofErr w:type="gramStart"/>
      <w:r w:rsidRPr="005D776E">
        <w:rPr>
          <w:rFonts w:ascii="Segoe UI" w:eastAsia="Times New Roman" w:hAnsi="Segoe UI" w:cs="Segoe UI"/>
          <w:color w:val="212529"/>
          <w:sz w:val="24"/>
          <w:szCs w:val="24"/>
          <w:lang w:eastAsia="en-IN"/>
        </w:rPr>
        <w:t>can be used</w:t>
      </w:r>
      <w:proofErr w:type="gramEnd"/>
      <w:r w:rsidRPr="005D776E">
        <w:rPr>
          <w:rFonts w:ascii="Segoe UI" w:eastAsia="Times New Roman" w:hAnsi="Segoe UI" w:cs="Segoe UI"/>
          <w:color w:val="212529"/>
          <w:sz w:val="24"/>
          <w:szCs w:val="24"/>
          <w:lang w:eastAsia="en-IN"/>
        </w:rPr>
        <w:t xml:space="preserve"> to transfer and convert risky assets into safe securities in order to comprehend the basic risk associated with the process and the ways in which they can be managed.     </w:t>
      </w:r>
    </w:p>
    <w:p w:rsidR="005D776E" w:rsidRPr="005D776E" w:rsidRDefault="005D776E" w:rsidP="005D776E">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5D776E">
        <w:rPr>
          <w:rFonts w:ascii="Segoe UI" w:eastAsia="Times New Roman" w:hAnsi="Segoe UI" w:cs="Segoe UI"/>
          <w:color w:val="212529"/>
          <w:sz w:val="26"/>
          <w:szCs w:val="26"/>
          <w:lang w:eastAsia="en-IN"/>
        </w:rPr>
        <w:t>References</w:t>
      </w:r>
    </w:p>
    <w:p w:rsidR="005D776E" w:rsidRPr="005D776E" w:rsidRDefault="005D776E" w:rsidP="005D776E">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5D776E">
        <w:rPr>
          <w:rFonts w:ascii="Segoe UI" w:eastAsia="Times New Roman" w:hAnsi="Segoe UI" w:cs="Segoe UI"/>
          <w:color w:val="212529"/>
          <w:sz w:val="24"/>
          <w:szCs w:val="24"/>
          <w:lang w:eastAsia="en-IN"/>
        </w:rPr>
        <w:t>Engelen</w:t>
      </w:r>
      <w:proofErr w:type="spellEnd"/>
      <w:r w:rsidRPr="005D776E">
        <w:rPr>
          <w:rFonts w:ascii="Segoe UI" w:eastAsia="Times New Roman" w:hAnsi="Segoe UI" w:cs="Segoe UI"/>
          <w:color w:val="212529"/>
          <w:sz w:val="24"/>
          <w:szCs w:val="24"/>
          <w:lang w:eastAsia="en-IN"/>
        </w:rPr>
        <w:t xml:space="preserve">, E., &amp; </w:t>
      </w:r>
      <w:proofErr w:type="spellStart"/>
      <w:r w:rsidRPr="005D776E">
        <w:rPr>
          <w:rFonts w:ascii="Segoe UI" w:eastAsia="Times New Roman" w:hAnsi="Segoe UI" w:cs="Segoe UI"/>
          <w:color w:val="212529"/>
          <w:sz w:val="24"/>
          <w:szCs w:val="24"/>
          <w:lang w:eastAsia="en-IN"/>
        </w:rPr>
        <w:t>Glasmacher</w:t>
      </w:r>
      <w:proofErr w:type="spellEnd"/>
      <w:r w:rsidRPr="005D776E">
        <w:rPr>
          <w:rFonts w:ascii="Segoe UI" w:eastAsia="Times New Roman" w:hAnsi="Segoe UI" w:cs="Segoe UI"/>
          <w:color w:val="212529"/>
          <w:sz w:val="24"/>
          <w:szCs w:val="24"/>
          <w:lang w:eastAsia="en-IN"/>
        </w:rPr>
        <w:t>, A., (2018), “The waiting game: How securitization became the solution for the growth problem of the Eurozone”, </w:t>
      </w:r>
      <w:r w:rsidRPr="005D776E">
        <w:rPr>
          <w:rFonts w:ascii="Segoe UI" w:eastAsia="Times New Roman" w:hAnsi="Segoe UI" w:cs="Segoe UI"/>
          <w:i/>
          <w:iCs/>
          <w:color w:val="212529"/>
          <w:sz w:val="24"/>
          <w:szCs w:val="24"/>
          <w:lang w:eastAsia="en-IN"/>
        </w:rPr>
        <w:t>Competition &amp; Change</w:t>
      </w:r>
      <w:r w:rsidRPr="005D776E">
        <w:rPr>
          <w:rFonts w:ascii="Segoe UI" w:eastAsia="Times New Roman" w:hAnsi="Segoe UI" w:cs="Segoe UI"/>
          <w:color w:val="212529"/>
          <w:sz w:val="24"/>
          <w:szCs w:val="24"/>
          <w:lang w:eastAsia="en-IN"/>
        </w:rPr>
        <w:t xml:space="preserve">, Vol. 22, </w:t>
      </w:r>
      <w:proofErr w:type="spellStart"/>
      <w:r w:rsidRPr="005D776E">
        <w:rPr>
          <w:rFonts w:ascii="Segoe UI" w:eastAsia="Times New Roman" w:hAnsi="Segoe UI" w:cs="Segoe UI"/>
          <w:color w:val="212529"/>
          <w:sz w:val="24"/>
          <w:szCs w:val="24"/>
          <w:lang w:eastAsia="en-IN"/>
        </w:rPr>
        <w:t>Iss</w:t>
      </w:r>
      <w:proofErr w:type="spellEnd"/>
      <w:r w:rsidRPr="005D776E">
        <w:rPr>
          <w:rFonts w:ascii="Segoe UI" w:eastAsia="Times New Roman" w:hAnsi="Segoe UI" w:cs="Segoe UI"/>
          <w:color w:val="212529"/>
          <w:sz w:val="24"/>
          <w:szCs w:val="24"/>
          <w:lang w:eastAsia="en-IN"/>
        </w:rPr>
        <w:t xml:space="preserve"> (2): pp. 165–183.</w:t>
      </w:r>
    </w:p>
    <w:p w:rsidR="005D776E" w:rsidRPr="005D776E" w:rsidRDefault="005D776E" w:rsidP="005D776E">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5D776E">
        <w:rPr>
          <w:rFonts w:ascii="Segoe UI" w:eastAsia="Times New Roman" w:hAnsi="Segoe UI" w:cs="Segoe UI"/>
          <w:color w:val="212529"/>
          <w:sz w:val="24"/>
          <w:szCs w:val="24"/>
          <w:lang w:eastAsia="en-IN"/>
        </w:rPr>
        <w:t>Wijburg</w:t>
      </w:r>
      <w:proofErr w:type="spellEnd"/>
      <w:r w:rsidRPr="005D776E">
        <w:rPr>
          <w:rFonts w:ascii="Segoe UI" w:eastAsia="Times New Roman" w:hAnsi="Segoe UI" w:cs="Segoe UI"/>
          <w:color w:val="212529"/>
          <w:sz w:val="24"/>
          <w:szCs w:val="24"/>
          <w:lang w:eastAsia="en-IN"/>
        </w:rPr>
        <w:t xml:space="preserve">, G., &amp; </w:t>
      </w:r>
      <w:proofErr w:type="spellStart"/>
      <w:r w:rsidRPr="005D776E">
        <w:rPr>
          <w:rFonts w:ascii="Segoe UI" w:eastAsia="Times New Roman" w:hAnsi="Segoe UI" w:cs="Segoe UI"/>
          <w:color w:val="212529"/>
          <w:sz w:val="24"/>
          <w:szCs w:val="24"/>
          <w:lang w:eastAsia="en-IN"/>
        </w:rPr>
        <w:t>Aalbers</w:t>
      </w:r>
      <w:proofErr w:type="spellEnd"/>
      <w:r w:rsidRPr="005D776E">
        <w:rPr>
          <w:rFonts w:ascii="Segoe UI" w:eastAsia="Times New Roman" w:hAnsi="Segoe UI" w:cs="Segoe UI"/>
          <w:color w:val="212529"/>
          <w:sz w:val="24"/>
          <w:szCs w:val="24"/>
          <w:lang w:eastAsia="en-IN"/>
        </w:rPr>
        <w:t xml:space="preserve">, M., (2017), “The alternative </w:t>
      </w:r>
      <w:proofErr w:type="spellStart"/>
      <w:r w:rsidRPr="005D776E">
        <w:rPr>
          <w:rFonts w:ascii="Segoe UI" w:eastAsia="Times New Roman" w:hAnsi="Segoe UI" w:cs="Segoe UI"/>
          <w:color w:val="212529"/>
          <w:sz w:val="24"/>
          <w:szCs w:val="24"/>
          <w:lang w:eastAsia="en-IN"/>
        </w:rPr>
        <w:t>financialization</w:t>
      </w:r>
      <w:proofErr w:type="spellEnd"/>
      <w:r w:rsidRPr="005D776E">
        <w:rPr>
          <w:rFonts w:ascii="Segoe UI" w:eastAsia="Times New Roman" w:hAnsi="Segoe UI" w:cs="Segoe UI"/>
          <w:color w:val="212529"/>
          <w:sz w:val="24"/>
          <w:szCs w:val="24"/>
          <w:lang w:eastAsia="en-IN"/>
        </w:rPr>
        <w:t xml:space="preserve"> of the German housing market”, </w:t>
      </w:r>
      <w:r w:rsidRPr="005D776E">
        <w:rPr>
          <w:rFonts w:ascii="Segoe UI" w:eastAsia="Times New Roman" w:hAnsi="Segoe UI" w:cs="Segoe UI"/>
          <w:i/>
          <w:iCs/>
          <w:color w:val="212529"/>
          <w:sz w:val="24"/>
          <w:szCs w:val="24"/>
          <w:lang w:eastAsia="en-IN"/>
        </w:rPr>
        <w:t>Housing Studies</w:t>
      </w:r>
      <w:r w:rsidRPr="005D776E">
        <w:rPr>
          <w:rFonts w:ascii="Segoe UI" w:eastAsia="Times New Roman" w:hAnsi="Segoe UI" w:cs="Segoe UI"/>
          <w:color w:val="212529"/>
          <w:sz w:val="24"/>
          <w:szCs w:val="24"/>
          <w:lang w:eastAsia="en-IN"/>
        </w:rPr>
        <w:t xml:space="preserve">, Vol. 32, </w:t>
      </w:r>
      <w:proofErr w:type="spellStart"/>
      <w:proofErr w:type="gramStart"/>
      <w:r w:rsidRPr="005D776E">
        <w:rPr>
          <w:rFonts w:ascii="Segoe UI" w:eastAsia="Times New Roman" w:hAnsi="Segoe UI" w:cs="Segoe UI"/>
          <w:color w:val="212529"/>
          <w:sz w:val="24"/>
          <w:szCs w:val="24"/>
          <w:lang w:eastAsia="en-IN"/>
        </w:rPr>
        <w:t>Iss</w:t>
      </w:r>
      <w:proofErr w:type="spellEnd"/>
      <w:proofErr w:type="gramEnd"/>
      <w:r w:rsidRPr="005D776E">
        <w:rPr>
          <w:rFonts w:ascii="Segoe UI" w:eastAsia="Times New Roman" w:hAnsi="Segoe UI" w:cs="Segoe UI"/>
          <w:color w:val="212529"/>
          <w:sz w:val="24"/>
          <w:szCs w:val="24"/>
          <w:lang w:eastAsia="en-IN"/>
        </w:rPr>
        <w:t xml:space="preserve"> (7): pp. 301–320.</w:t>
      </w:r>
    </w:p>
    <w:p w:rsidR="00007578" w:rsidRDefault="00007578"/>
    <w:sectPr w:rsidR="0000757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776E"/>
    <w:rsid w:val="00007578"/>
    <w:rsid w:val="005D776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968B66-FA2A-4F5F-8C66-0362C2B2E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5D776E"/>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5D776E"/>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qFormat/>
    <w:rsid w:val="005D776E"/>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D776E"/>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5D776E"/>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rsid w:val="005D776E"/>
    <w:rPr>
      <w:rFonts w:ascii="Times New Roman" w:eastAsia="Times New Roman" w:hAnsi="Times New Roman" w:cs="Times New Roman"/>
      <w:b/>
      <w:bCs/>
      <w:sz w:val="24"/>
      <w:szCs w:val="24"/>
      <w:lang w:eastAsia="en-IN"/>
    </w:rPr>
  </w:style>
  <w:style w:type="paragraph" w:styleId="NormalWeb">
    <w:name w:val="Normal (Web)"/>
    <w:basedOn w:val="Normal"/>
    <w:uiPriority w:val="99"/>
    <w:semiHidden/>
    <w:unhideWhenUsed/>
    <w:rsid w:val="005D776E"/>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5D776E"/>
    <w:rPr>
      <w:i/>
      <w:iCs/>
    </w:rPr>
  </w:style>
  <w:style w:type="paragraph" w:customStyle="1" w:styleId="lead">
    <w:name w:val="lead"/>
    <w:basedOn w:val="Normal"/>
    <w:rsid w:val="005D776E"/>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5D776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16951148">
      <w:bodyDiv w:val="1"/>
      <w:marLeft w:val="0"/>
      <w:marRight w:val="0"/>
      <w:marTop w:val="0"/>
      <w:marBottom w:val="0"/>
      <w:divBdr>
        <w:top w:val="none" w:sz="0" w:space="0" w:color="auto"/>
        <w:left w:val="none" w:sz="0" w:space="0" w:color="auto"/>
        <w:bottom w:val="none" w:sz="0" w:space="0" w:color="auto"/>
        <w:right w:val="none" w:sz="0" w:space="0" w:color="auto"/>
      </w:divBdr>
      <w:divsChild>
        <w:div w:id="887643668">
          <w:marLeft w:val="0"/>
          <w:marRight w:val="0"/>
          <w:marTop w:val="0"/>
          <w:marBottom w:val="0"/>
          <w:divBdr>
            <w:top w:val="none" w:sz="0" w:space="0" w:color="auto"/>
            <w:left w:val="none" w:sz="0" w:space="0" w:color="auto"/>
            <w:bottom w:val="none" w:sz="0" w:space="0" w:color="auto"/>
            <w:right w:val="none" w:sz="0" w:space="0" w:color="auto"/>
          </w:divBdr>
          <w:divsChild>
            <w:div w:id="1815104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631</Words>
  <Characters>3601</Characters>
  <Application>Microsoft Office Word</Application>
  <DocSecurity>0</DocSecurity>
  <Lines>30</Lines>
  <Paragraphs>8</Paragraphs>
  <ScaleCrop>false</ScaleCrop>
  <Company/>
  <LinksUpToDate>false</LinksUpToDate>
  <CharactersWithSpaces>4224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2021-12-04T04:42:00Z</dcterms:created>
  <dcterms:modified xsi:type="dcterms:W3CDTF">2021-12-04T04:48:00Z</dcterms:modified>
</cp:coreProperties>
</file>