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4CF0" w:rsidRDefault="001F15C8">
      <w:pPr>
        <w:spacing w:after="64" w:line="259" w:lineRule="auto"/>
        <w:ind w:left="510" w:right="-873" w:firstLine="0"/>
      </w:pPr>
      <w:r>
        <w:rPr>
          <w:rFonts w:ascii="Arial" w:eastAsia="Arial" w:hAnsi="Arial" w:cs="Arial"/>
        </w:rPr>
        <w:t xml:space="preserve"> </w:t>
      </w:r>
    </w:p>
    <w:p w:rsidR="000C4CF0" w:rsidRDefault="001F15C8">
      <w:pPr>
        <w:spacing w:after="1754" w:line="259" w:lineRule="auto"/>
        <w:ind w:left="1385" w:firstLine="0"/>
      </w:pPr>
      <w:r>
        <w:t xml:space="preserve">                                             </w:t>
      </w:r>
    </w:p>
    <w:p w:rsidR="000C4CF0" w:rsidRDefault="001F15C8">
      <w:pPr>
        <w:spacing w:after="7432"/>
        <w:ind w:left="1380"/>
      </w:pPr>
      <w:r>
        <w:t xml:space="preserve">                                                Reflective classroom p</w:t>
      </w:r>
      <w:bookmarkStart w:id="0" w:name="_GoBack"/>
      <w:bookmarkEnd w:id="0"/>
      <w:r>
        <w:t>ractice</w:t>
      </w:r>
    </w:p>
    <w:p w:rsidR="000C4CF0" w:rsidRDefault="001F15C8" w:rsidP="00306D74">
      <w:r>
        <w:t xml:space="preserve">Education is the way toward encouraging learning, or the procurement of information, aptitudes, qualities, convictions, and propensities. Education techniques incorporate educating, preparing, narrating, conversation and coordinated examination. Education </w:t>
      </w:r>
      <w:r>
        <w:t>much of the time happens under the direction of teachers, anyway students can likewise instruct themselves. Instruction can occur in formal or casual settings and any experience that formatively affects the way one thinks, feels, or acts might be viewed as</w:t>
      </w:r>
      <w:r>
        <w:t xml:space="preserve"> instructive. The system of instructing is called teaching method. Formal instruction is regularly partitioned officially into such stages as preschool or kindergarten, grade school, optional school and afterward school, college, or apprenticeship. “Studen</w:t>
      </w:r>
      <w:r>
        <w:t>t engagement is an important precursor for learning. Engagement has been shown to be related to better achievement at school, while disengagement has been shown to be related to school dropout (</w:t>
      </w:r>
      <w:proofErr w:type="spellStart"/>
      <w:r>
        <w:t>Archambault</w:t>
      </w:r>
      <w:proofErr w:type="spellEnd"/>
      <w:r>
        <w:t xml:space="preserve">, </w:t>
      </w:r>
      <w:proofErr w:type="spellStart"/>
      <w:r>
        <w:t>Janosz</w:t>
      </w:r>
      <w:proofErr w:type="spellEnd"/>
      <w:r>
        <w:t xml:space="preserve">, </w:t>
      </w:r>
      <w:proofErr w:type="spellStart"/>
      <w:r>
        <w:t>Fallu</w:t>
      </w:r>
      <w:proofErr w:type="spellEnd"/>
      <w:r>
        <w:t xml:space="preserve">, &amp; </w:t>
      </w:r>
      <w:proofErr w:type="spellStart"/>
      <w:r>
        <w:t>Pagani</w:t>
      </w:r>
      <w:proofErr w:type="spellEnd"/>
      <w:r>
        <w:t xml:space="preserve">, 2009; </w:t>
      </w:r>
      <w:proofErr w:type="spellStart"/>
      <w:r>
        <w:t>Fredricks</w:t>
      </w:r>
      <w:proofErr w:type="spellEnd"/>
      <w:r>
        <w:t xml:space="preserve">, </w:t>
      </w:r>
      <w:proofErr w:type="spellStart"/>
      <w:r>
        <w:t>Blumenf</w:t>
      </w:r>
      <w:r>
        <w:t>eld</w:t>
      </w:r>
      <w:proofErr w:type="spellEnd"/>
      <w:r>
        <w:t xml:space="preserve">, &amp; Paris, 2004; </w:t>
      </w:r>
      <w:proofErr w:type="spellStart"/>
      <w:r>
        <w:t>Reschly</w:t>
      </w:r>
      <w:proofErr w:type="spellEnd"/>
      <w:r>
        <w:t xml:space="preserve"> &amp; Christenson, 2006; Zimmer-</w:t>
      </w:r>
      <w:proofErr w:type="spellStart"/>
      <w:r>
        <w:t>Gembeck</w:t>
      </w:r>
      <w:proofErr w:type="spellEnd"/>
      <w:r>
        <w:t xml:space="preserve">, </w:t>
      </w:r>
      <w:proofErr w:type="spellStart"/>
      <w:r>
        <w:t>Chipuer</w:t>
      </w:r>
      <w:proofErr w:type="spellEnd"/>
      <w:r>
        <w:t xml:space="preserve">, </w:t>
      </w:r>
      <w:proofErr w:type="spellStart"/>
      <w:r>
        <w:t>Hanisch</w:t>
      </w:r>
      <w:proofErr w:type="spellEnd"/>
      <w:r>
        <w:t xml:space="preserve">, Creed, &amp; McGregor, 2006)”. </w:t>
      </w:r>
    </w:p>
    <w:p w:rsidR="000C4CF0" w:rsidRDefault="001F15C8">
      <w:pPr>
        <w:ind w:left="1380"/>
      </w:pPr>
      <w:r>
        <w:lastRenderedPageBreak/>
        <w:t>Teachers assume essential parts in the lives of the students in their classrooms. Teachers are most popular for the part of teaching the students</w:t>
      </w:r>
      <w:r>
        <w:t xml:space="preserve"> that are put in their consideration. Past that, Educators serve numerous different parts in the study hall. Instructors set the pace of their homerooms, assemble a warm climate, guide and sustain students, become good examples, and tune in and search for </w:t>
      </w:r>
      <w:r>
        <w:t>difficult situations. “A positive relationship between student and teacher has been shown to be important for student engagement and achievement (</w:t>
      </w:r>
      <w:proofErr w:type="spellStart"/>
      <w:r>
        <w:t>Roorda</w:t>
      </w:r>
      <w:proofErr w:type="spellEnd"/>
      <w:r>
        <w:t xml:space="preserve"> et al., 2011)”. </w:t>
      </w:r>
    </w:p>
    <w:p w:rsidR="000C4CF0" w:rsidRDefault="001F15C8">
      <w:pPr>
        <w:ind w:left="1380"/>
      </w:pPr>
      <w:r>
        <w:t>I was a secondary teacher in my home country India. Four years ago, as a secondary tea</w:t>
      </w:r>
      <w:r>
        <w:t>cher it was my responsibility to assign a class, plan their lesson plans and teach lessons to achieve a specific objectives. The school was located in an undeveloped area, people were not more aware about mental health issues. I taught a class with 40 stud</w:t>
      </w:r>
      <w:r>
        <w:t>ents. Most of students were good and understandable but some were having mental issues like ADHD. The school was co-educational school, so boys and girls learned together. I had three girls with ADHD and four boys with Autism in my classroom. Most of the t</w:t>
      </w:r>
      <w:r>
        <w:t>ime, I was tried to understand their problem and make a lesson plan according to their ability. Teaching is a difficult job; it comes with a set of huge responsibilities. Each student is a unique case and a teacher modifies their lessons to suit every lear</w:t>
      </w:r>
      <w:r>
        <w:t>ner’s ability. It was my responsibility to understand them and solve their problems. The main problem during my teaching experience was to find out the problem because they were teenager student, they always try to hide their weakness. “By the time childre</w:t>
      </w:r>
      <w:r>
        <w:t xml:space="preserve">n with ADHD get to secondary school they are less likely to admit to needing help. </w:t>
      </w:r>
    </w:p>
    <w:p w:rsidR="000C4CF0" w:rsidRDefault="001F15C8">
      <w:pPr>
        <w:ind w:left="1380"/>
      </w:pPr>
      <w:r>
        <w:t xml:space="preserve">Schools are less likely to offer help and parents may not be able to help the student with middle or high school level school work. (Parker. H. </w:t>
      </w:r>
      <w:proofErr w:type="gramStart"/>
      <w:r>
        <w:t>C(</w:t>
      </w:r>
      <w:proofErr w:type="gramEnd"/>
      <w:r>
        <w:t>2000). ”.</w:t>
      </w:r>
    </w:p>
    <w:p w:rsidR="000C4CF0" w:rsidRDefault="001F15C8">
      <w:pPr>
        <w:spacing w:after="0"/>
        <w:ind w:left="1380"/>
      </w:pPr>
      <w:r>
        <w:t>Students with AD</w:t>
      </w:r>
      <w:r>
        <w:t xml:space="preserve">HD always experience hyperactivity or impulsivity which can effect on their learning, </w:t>
      </w:r>
      <w:proofErr w:type="spellStart"/>
      <w:r>
        <w:t>behaviour</w:t>
      </w:r>
      <w:proofErr w:type="spellEnd"/>
      <w:r>
        <w:t xml:space="preserve"> and social or emotional adjustment. In my class some girls with ADHD were pay less attention to instruction and show disruptive </w:t>
      </w:r>
      <w:proofErr w:type="spellStart"/>
      <w:r>
        <w:t>behaviour</w:t>
      </w:r>
      <w:proofErr w:type="spellEnd"/>
      <w:r>
        <w:t>, not complete homework</w:t>
      </w:r>
      <w:r>
        <w:t xml:space="preserve"> and pretend themselves. The Diagnostic and Statistical Manual of Mental </w:t>
      </w:r>
    </w:p>
    <w:p w:rsidR="000C4CF0" w:rsidRDefault="001F15C8">
      <w:pPr>
        <w:spacing w:after="0"/>
        <w:ind w:left="1380"/>
      </w:pPr>
      <w:r>
        <w:t xml:space="preserve">Disorders, Fourth Edition, Text </w:t>
      </w:r>
      <w:proofErr w:type="gramStart"/>
      <w:r>
        <w:t>Revision(</w:t>
      </w:r>
      <w:proofErr w:type="gramEnd"/>
      <w:r>
        <w:t xml:space="preserve">DSM IV-TR), published by the American </w:t>
      </w:r>
    </w:p>
    <w:p w:rsidR="000C4CF0" w:rsidRDefault="001F15C8">
      <w:pPr>
        <w:ind w:left="1380"/>
      </w:pPr>
      <w:r>
        <w:t xml:space="preserve">Psychiatric Association in 2000, provides health care professionals with the criteria that need to be </w:t>
      </w:r>
      <w:r>
        <w:t xml:space="preserve">met to diagnose a person with ADHD. To receive a diagnosis of ADHD a person must exhibit a certain number of </w:t>
      </w:r>
      <w:proofErr w:type="spellStart"/>
      <w:r>
        <w:t>behavioural</w:t>
      </w:r>
      <w:proofErr w:type="spellEnd"/>
      <w:r>
        <w:t xml:space="preserve"> characteristics reflecting either inattention or hyperactivity and impulsivity for at least six months to a degree that is “maladaptive</w:t>
      </w:r>
      <w:r>
        <w:t xml:space="preserve"> and inconsistent with developmental level.”</w:t>
      </w:r>
    </w:p>
    <w:p w:rsidR="000C4CF0" w:rsidRDefault="001F15C8">
      <w:pPr>
        <w:ind w:left="1380"/>
      </w:pPr>
      <w:r>
        <w:t>Shockingly, having ADHD can majorly affect the course of a student's training and profession accomplishment. Students with ADHD are bound to be suspended from school, less inclined to gain grades as high as non-</w:t>
      </w:r>
      <w:r>
        <w:t>ADHD students, more outlandish complete their investigations and achieve accomplishment in their vocations. Early intercession and treatment could be improved these frustrating results.</w:t>
      </w:r>
    </w:p>
    <w:p w:rsidR="000C4CF0" w:rsidRDefault="001F15C8">
      <w:pPr>
        <w:spacing w:after="311"/>
        <w:ind w:left="1380"/>
      </w:pPr>
      <w:r>
        <w:t>Inclusive education provides a quality education to all children.</w:t>
      </w:r>
      <w:r>
        <w:rPr>
          <w:sz w:val="22"/>
        </w:rPr>
        <w:t xml:space="preserve"> </w:t>
      </w:r>
      <w:r>
        <w:t>Each</w:t>
      </w:r>
      <w:r>
        <w:t xml:space="preserve"> classroom is different. Each kid brings their own one of a kind arrangement of qualities and difficulties. All kids can learn. Inclusive education guarantees that every youngsters living with disabilities or extra needs can take part, accomplish and devel</w:t>
      </w:r>
      <w:r>
        <w:t xml:space="preserve">op. </w:t>
      </w:r>
      <w:proofErr w:type="spellStart"/>
      <w:r>
        <w:t>Berlach</w:t>
      </w:r>
      <w:proofErr w:type="spellEnd"/>
      <w:r>
        <w:t xml:space="preserve"> and Chambers (2011)</w:t>
      </w:r>
      <w:proofErr w:type="gramStart"/>
      <w:r>
        <w:t>,“</w:t>
      </w:r>
      <w:proofErr w:type="gramEnd"/>
      <w:r>
        <w:t xml:space="preserve"> Philosophical framework for inclusive education along with school-based and classroom based examples. Their philosophical underpinnings include: availability of opportunity; 8 acceptances of </w:t>
      </w:r>
      <w:r>
        <w:lastRenderedPageBreak/>
        <w:t>disability and / or disadvantag</w:t>
      </w:r>
      <w:r>
        <w:t>e; superior ability and diversity; and an absence of bias, prejudice, and inequality”</w:t>
      </w:r>
    </w:p>
    <w:p w:rsidR="000C4CF0" w:rsidRDefault="001F15C8">
      <w:pPr>
        <w:ind w:left="1380"/>
      </w:pPr>
      <w:r>
        <w:t>Another problem was less of support from school, colleagues and parents. Special education teachers often work with smaller groups and focus on skills rather than content</w:t>
      </w:r>
      <w:r>
        <w:t>. The nature of a special education teacher’s work is very different from traditional teacher.  The education system of the area where I taught was not aware with mental health issues and its requirements. I had a large class with 40 students. I tried to u</w:t>
      </w:r>
      <w:r>
        <w:t xml:space="preserve">se new strategies or new technology in my teaching. I use visual learning and activities in my class to make lesson plan easy or understandable for them.  </w:t>
      </w:r>
    </w:p>
    <w:p w:rsidR="000C4CF0" w:rsidRDefault="001F15C8">
      <w:pPr>
        <w:ind w:left="1380"/>
      </w:pPr>
      <w:r>
        <w:t>Students with ADHD may likewise be hyperactive and imprudent. They may ramble, intrude on others, an</w:t>
      </w:r>
      <w:r>
        <w:t>d think that it’s awkward to sit tight or play quietly. They can be profoundly dynamic. Some of the time, this can make bunch work testing and can affect a student's social association with others. Some students found extra support for learning new informa</w:t>
      </w:r>
      <w:r>
        <w:t xml:space="preserve">tion but some was very creative and thought ‘outside the box’. Most of times Students with ADHD need support to manage their emotions. . According to (Rhodes, </w:t>
      </w:r>
      <w:proofErr w:type="gramStart"/>
      <w:r>
        <w:t>2014 )</w:t>
      </w:r>
      <w:proofErr w:type="gramEnd"/>
      <w:r>
        <w:t xml:space="preserve"> “Children with ADHD often present with complex comorbid difficulties and have difficulties</w:t>
      </w:r>
      <w:r>
        <w:t xml:space="preserve"> both academically  and socially at school”. </w:t>
      </w:r>
    </w:p>
    <w:p w:rsidR="000C4CF0" w:rsidRDefault="001F15C8">
      <w:pPr>
        <w:ind w:left="1380"/>
      </w:pPr>
      <w:r>
        <w:t>The role of teacher is very crucial in student’s life. A teacher always gets attention of student before speaking or giving instruction. Break down big tasks into smaller ones, give step by step instructions or</w:t>
      </w:r>
      <w:r>
        <w:t xml:space="preserve"> use visual instructions. Make lesson plans with using pictures and videos, power point presentations or multimedia educational software. The need to plan students with twenty-first century abilities through science, innovation, designing and arithmetic (S</w:t>
      </w:r>
      <w:r>
        <w:t>TEM</w:t>
      </w:r>
      <w:proofErr w:type="gramStart"/>
      <w:r>
        <w:t>)-</w:t>
      </w:r>
      <w:proofErr w:type="gramEnd"/>
      <w:r>
        <w:t xml:space="preserve"> related instructing is solid, particularly at the elementary level. </w:t>
      </w:r>
    </w:p>
    <w:p w:rsidR="000C4CF0" w:rsidRDefault="001F15C8">
      <w:pPr>
        <w:spacing w:after="202" w:line="262" w:lineRule="auto"/>
        <w:ind w:left="1385" w:right="2" w:firstLine="0"/>
        <w:jc w:val="both"/>
      </w:pPr>
      <w:r>
        <w:t>Government should approach to support mental health issues. Develop</w:t>
      </w:r>
      <w:r>
        <w:rPr>
          <w:color w:val="313131"/>
        </w:rPr>
        <w:t xml:space="preserve"> policies and plans to guide government action on mental health issues. They should fund to programs or services which help people with mental health issues. Provide awareness through camps or programs; develop programs to provide employment to people with</w:t>
      </w:r>
      <w:r>
        <w:rPr>
          <w:color w:val="313131"/>
        </w:rPr>
        <w:t xml:space="preserve"> mental health issues. Funding examination into psychological wellness issues to grow new ways to deal with avoidance, determination, treatment and recuperation.  Funding work to forestall self-destruction. Funding preventive wellbeing activities that emph</w:t>
      </w:r>
      <w:r>
        <w:rPr>
          <w:color w:val="313131"/>
        </w:rPr>
        <w:t xml:space="preserve">asis on psychological well-being. Brew and </w:t>
      </w:r>
      <w:proofErr w:type="spellStart"/>
      <w:r>
        <w:rPr>
          <w:color w:val="313131"/>
        </w:rPr>
        <w:t>Ginns</w:t>
      </w:r>
      <w:proofErr w:type="spellEnd"/>
      <w:r>
        <w:rPr>
          <w:color w:val="313131"/>
        </w:rPr>
        <w:t>’ research (2008), reporting that, “</w:t>
      </w:r>
      <w:proofErr w:type="spellStart"/>
      <w:r>
        <w:rPr>
          <w:color w:val="313131"/>
        </w:rPr>
        <w:t>SoTL</w:t>
      </w:r>
      <w:proofErr w:type="spellEnd"/>
      <w:r>
        <w:rPr>
          <w:color w:val="313131"/>
        </w:rPr>
        <w:t xml:space="preserve"> engagement improved student perceptions of teaching quality. However, the aggregate data obscure some important findings, for the conclusion can only be drawn if the c</w:t>
      </w:r>
      <w:r>
        <w:rPr>
          <w:color w:val="313131"/>
        </w:rPr>
        <w:t xml:space="preserve">oncepts 6 of scholarly teaching and </w:t>
      </w:r>
      <w:proofErr w:type="spellStart"/>
      <w:r>
        <w:rPr>
          <w:color w:val="313131"/>
        </w:rPr>
        <w:t>SoTL</w:t>
      </w:r>
      <w:proofErr w:type="spellEnd"/>
      <w:r>
        <w:rPr>
          <w:color w:val="313131"/>
        </w:rPr>
        <w:t xml:space="preserve"> are conflated.”</w:t>
      </w:r>
    </w:p>
    <w:p w:rsidR="000C4CF0" w:rsidRPr="00306D74" w:rsidRDefault="001F15C8">
      <w:pPr>
        <w:spacing w:after="629"/>
        <w:ind w:left="1238"/>
      </w:pPr>
      <w:r w:rsidRPr="00306D74">
        <w:rPr>
          <w:noProof/>
          <w:color w:val="000000" w:themeColor="text1"/>
          <w:sz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mc:AlternateContent>
          <mc:Choice Requires="wpg">
            <w:drawing>
              <wp:inline distT="0" distB="0" distL="0" distR="0">
                <wp:extent cx="1270" cy="175260"/>
                <wp:effectExtent l="0" t="0" r="0" b="0"/>
                <wp:docPr id="1849" name="Group 1849"/>
                <wp:cNvGraphicFramePr/>
                <a:graphic xmlns:a="http://schemas.openxmlformats.org/drawingml/2006/main">
                  <a:graphicData uri="http://schemas.microsoft.com/office/word/2010/wordprocessingGroup">
                    <wpg:wgp>
                      <wpg:cNvGrpSpPr/>
                      <wpg:grpSpPr>
                        <a:xfrm>
                          <a:off x="0" y="0"/>
                          <a:ext cx="1270" cy="175260"/>
                          <a:chOff x="0" y="0"/>
                          <a:chExt cx="1270" cy="175260"/>
                        </a:xfrm>
                      </wpg:grpSpPr>
                      <wps:wsp>
                        <wps:cNvPr id="240" name="Shape 240"/>
                        <wps:cNvSpPr/>
                        <wps:spPr>
                          <a:xfrm>
                            <a:off x="0" y="0"/>
                            <a:ext cx="0" cy="175260"/>
                          </a:xfrm>
                          <a:custGeom>
                            <a:avLst/>
                            <a:gdLst/>
                            <a:ahLst/>
                            <a:cxnLst/>
                            <a:rect l="0" t="0" r="0" b="0"/>
                            <a:pathLst>
                              <a:path h="175260">
                                <a:moveTo>
                                  <a:pt x="0" y="0"/>
                                </a:moveTo>
                                <a:lnTo>
                                  <a:pt x="0" y="175260"/>
                                </a:lnTo>
                              </a:path>
                            </a:pathLst>
                          </a:custGeom>
                          <a:ln w="1270"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6CD5F3EB" id="Group 1849" o:spid="_x0000_s1026" style="width:.1pt;height:13.8pt;mso-position-horizontal-relative:char;mso-position-vertical-relative:line" coordsize="1270,175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">
                <v:shape id="Shape 240" o:spid="_x0000_s1027" style="position:absolute;width:0;height:175260;visibility:visible;mso-wrap-style:square;v-text-anchor:top" coordsize="0,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vGEcMA&#10;AADcAAAADwAAAGRycy9kb3ducmV2LnhtbERPTWvCQBC9F/oflil4q5uqFImuUgotFkFo9NDexuyY&#10;xGZnw+7UpP++exA8Pt73cj24Vl0oxMazgadxBoq49LbhysBh//Y4BxUF2WLrmQz8UYT16v5uibn1&#10;PX/SpZBKpRCOORqoRbpc61jW5DCOfUecuJMPDiXBUGkbsE/hrtWTLHvWDhtODTV29FpT+VP8OgPS&#10;f7jd1M6P+C3T4hjez1/t9mzM6GF4WYASGuQmvro31sBkluanM+kI6N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cvGEcMAAADcAAAADwAAAAAAAAAAAAAAAACYAgAAZHJzL2Rv&#10;d25yZXYueG1sUEsFBgAAAAAEAAQA9QAAAIgDAAAAAA==&#10;" path="m,l,175260e" filled="f" strokeweight=".1pt">
                  <v:stroke miterlimit="83231f" joinstyle="miter"/>
                  <v:path arrowok="t" textboxrect="0,0,0,175260"/>
                </v:shape>
                <w10:anchorlock/>
              </v:group>
            </w:pict>
          </mc:Fallback>
        </mc:AlternateContent>
      </w:r>
      <w:r w:rsidRPr="00306D7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References</w:t>
      </w:r>
    </w:p>
    <w:p w:rsidR="000C4CF0" w:rsidRDefault="001F15C8">
      <w:pPr>
        <w:spacing w:after="0"/>
        <w:ind w:left="1380"/>
      </w:pPr>
      <w:r>
        <w:t>APA (American Psychological Assoc.)</w:t>
      </w:r>
    </w:p>
    <w:p w:rsidR="000C4CF0" w:rsidRDefault="001F15C8">
      <w:pPr>
        <w:ind w:left="1380"/>
      </w:pPr>
      <w:r>
        <w:t xml:space="preserve">Parker, H. C. (2000). Problem Solver Guide for Students with </w:t>
      </w:r>
      <w:proofErr w:type="gramStart"/>
      <w:r>
        <w:t>ADHD :</w:t>
      </w:r>
      <w:proofErr w:type="gramEnd"/>
      <w:r>
        <w:t xml:space="preserve"> Ready-to-use Interventions for Elementary and Secondary Students with Attention Defi</w:t>
      </w:r>
      <w:r>
        <w:t>cit Hyperactivity Disorder. Independent Publishers Group.</w:t>
      </w:r>
    </w:p>
    <w:p w:rsidR="000C4CF0" w:rsidRDefault="001F15C8">
      <w:pPr>
        <w:spacing w:after="200" w:line="259" w:lineRule="auto"/>
        <w:ind w:left="1385" w:firstLine="0"/>
      </w:pPr>
      <w:r>
        <w:rPr>
          <w:color w:val="0000FF"/>
          <w:u w:val="single" w:color="0000FF"/>
        </w:rPr>
        <w:t>https://allplaylearn.org.au/secondary/teacher/adhd/</w:t>
      </w:r>
      <w:r>
        <w:t xml:space="preserve"> </w:t>
      </w:r>
    </w:p>
    <w:p w:rsidR="000C4CF0" w:rsidRDefault="001F15C8">
      <w:pPr>
        <w:ind w:left="1380"/>
      </w:pPr>
      <w:r>
        <w:lastRenderedPageBreak/>
        <w:t xml:space="preserve">Parker, H. C. (2006). Problem solver guide for students with </w:t>
      </w:r>
      <w:proofErr w:type="spellStart"/>
      <w:proofErr w:type="gramStart"/>
      <w:r>
        <w:t>adhd</w:t>
      </w:r>
      <w:proofErr w:type="spellEnd"/>
      <w:r>
        <w:t xml:space="preserve"> :</w:t>
      </w:r>
      <w:proofErr w:type="gramEnd"/>
      <w:r>
        <w:t xml:space="preserve"> ready-to-use interventions for elementary and secondary students with attenti</w:t>
      </w:r>
      <w:r>
        <w:t>on deficit hyperactivity disorder. Specialty Press. INSERT-MISSING-URL.</w:t>
      </w:r>
    </w:p>
    <w:p w:rsidR="000C4CF0" w:rsidRDefault="001F15C8">
      <w:pPr>
        <w:spacing w:after="0" w:line="259" w:lineRule="auto"/>
        <w:ind w:left="1385" w:firstLine="0"/>
      </w:pPr>
      <w:r>
        <w:rPr>
          <w:color w:val="333333"/>
          <w:shd w:val="clear" w:color="auto" w:fill="F5F5F5"/>
        </w:rPr>
        <w:t xml:space="preserve">Potter, M. K., &amp; </w:t>
      </w:r>
      <w:proofErr w:type="spellStart"/>
      <w:r>
        <w:rPr>
          <w:color w:val="333333"/>
          <w:shd w:val="clear" w:color="auto" w:fill="F5F5F5"/>
        </w:rPr>
        <w:t>Kustra</w:t>
      </w:r>
      <w:proofErr w:type="spellEnd"/>
      <w:r>
        <w:rPr>
          <w:color w:val="333333"/>
          <w:shd w:val="clear" w:color="auto" w:fill="F5F5F5"/>
        </w:rPr>
        <w:t xml:space="preserve">, E. (2011). The Relationship between Scholarly Teaching and </w:t>
      </w:r>
      <w:proofErr w:type="spellStart"/>
      <w:r>
        <w:rPr>
          <w:color w:val="333333"/>
          <w:shd w:val="clear" w:color="auto" w:fill="F5F5F5"/>
        </w:rPr>
        <w:t>SoTL</w:t>
      </w:r>
      <w:proofErr w:type="spellEnd"/>
      <w:r>
        <w:rPr>
          <w:color w:val="333333"/>
          <w:shd w:val="clear" w:color="auto" w:fill="F5F5F5"/>
        </w:rPr>
        <w:t xml:space="preserve">: </w:t>
      </w:r>
    </w:p>
    <w:p w:rsidR="000C4CF0" w:rsidRDefault="001F15C8">
      <w:pPr>
        <w:shd w:val="clear" w:color="auto" w:fill="F5F5F5"/>
        <w:spacing w:after="1" w:line="259" w:lineRule="auto"/>
        <w:ind w:left="1380"/>
      </w:pPr>
      <w:r>
        <w:rPr>
          <w:color w:val="333333"/>
        </w:rPr>
        <w:t xml:space="preserve">Modes, Distinctions, and Clarifications. </w:t>
      </w:r>
      <w:r>
        <w:rPr>
          <w:i/>
          <w:color w:val="333333"/>
        </w:rPr>
        <w:t xml:space="preserve">International Journal for the Scholarship of </w:t>
      </w:r>
    </w:p>
    <w:p w:rsidR="000C4CF0" w:rsidRDefault="001F15C8">
      <w:pPr>
        <w:shd w:val="clear" w:color="auto" w:fill="F5F5F5"/>
        <w:spacing w:after="1" w:line="259" w:lineRule="auto"/>
        <w:ind w:left="1380"/>
      </w:pPr>
      <w:r>
        <w:rPr>
          <w:i/>
          <w:color w:val="333333"/>
        </w:rPr>
        <w:t>Teaching &amp; Learning</w:t>
      </w:r>
      <w:r>
        <w:rPr>
          <w:color w:val="333333"/>
        </w:rPr>
        <w:t xml:space="preserve">, </w:t>
      </w:r>
      <w:r>
        <w:rPr>
          <w:i/>
          <w:color w:val="333333"/>
        </w:rPr>
        <w:t>5</w:t>
      </w:r>
      <w:r>
        <w:rPr>
          <w:color w:val="333333"/>
        </w:rPr>
        <w:t xml:space="preserve">(1), 1–18. </w:t>
      </w:r>
      <w:r>
        <w:rPr>
          <w:color w:val="0000FF"/>
          <w:u w:val="single" w:color="0000FF"/>
        </w:rPr>
        <w:t>https://doi-</w:t>
      </w:r>
    </w:p>
    <w:p w:rsidR="000C4CF0" w:rsidRDefault="001F15C8">
      <w:pPr>
        <w:shd w:val="clear" w:color="auto" w:fill="F5F5F5"/>
        <w:spacing w:after="202" w:line="259" w:lineRule="auto"/>
        <w:ind w:left="1385" w:firstLine="0"/>
      </w:pPr>
      <w:r>
        <w:rPr>
          <w:color w:val="0000FF"/>
          <w:u w:val="single" w:color="0000FF"/>
        </w:rPr>
        <w:t>org.ezproxy.laureate.net.au/10.20429/ijsotl.2011.050123</w:t>
      </w:r>
      <w:r>
        <w:rPr>
          <w:color w:val="333333"/>
        </w:rPr>
        <w:t xml:space="preserve">. </w:t>
      </w:r>
    </w:p>
    <w:p w:rsidR="000C4CF0" w:rsidRDefault="001F15C8">
      <w:pPr>
        <w:ind w:left="1380"/>
      </w:pPr>
      <w:proofErr w:type="spellStart"/>
      <w:r>
        <w:t>Smyrnova-Trybulska</w:t>
      </w:r>
      <w:proofErr w:type="spellEnd"/>
      <w:r>
        <w:t xml:space="preserve">, E., </w:t>
      </w:r>
      <w:proofErr w:type="spellStart"/>
      <w:r>
        <w:t>Morze</w:t>
      </w:r>
      <w:proofErr w:type="spellEnd"/>
      <w:r>
        <w:t xml:space="preserve">, N., </w:t>
      </w:r>
      <w:proofErr w:type="spellStart"/>
      <w:r>
        <w:t>Kommers</w:t>
      </w:r>
      <w:proofErr w:type="spellEnd"/>
      <w:r>
        <w:t xml:space="preserve">, P., </w:t>
      </w:r>
      <w:proofErr w:type="spellStart"/>
      <w:r>
        <w:t>Zuziak</w:t>
      </w:r>
      <w:proofErr w:type="spellEnd"/>
      <w:r>
        <w:t xml:space="preserve">, W., &amp; </w:t>
      </w:r>
      <w:proofErr w:type="spellStart"/>
      <w:r>
        <w:t>Gladun</w:t>
      </w:r>
      <w:proofErr w:type="spellEnd"/>
      <w:r>
        <w:t xml:space="preserve">, M. (2017). Selected aspects and conditions of the use of robots in stem education </w:t>
      </w:r>
      <w:r>
        <w:t xml:space="preserve">for young learners as viewed by teachers and students. </w:t>
      </w:r>
      <w:r>
        <w:rPr>
          <w:i/>
        </w:rPr>
        <w:t>Interactive Technology and Smart Education</w:t>
      </w:r>
      <w:r>
        <w:t xml:space="preserve">, </w:t>
      </w:r>
      <w:r>
        <w:rPr>
          <w:i/>
        </w:rPr>
        <w:t>14</w:t>
      </w:r>
      <w:r>
        <w:t xml:space="preserve">(4), 296– 312. </w:t>
      </w:r>
      <w:r>
        <w:rPr>
          <w:color w:val="0000FF"/>
          <w:u w:val="single" w:color="0000FF"/>
        </w:rPr>
        <w:t>https://doi.org/10.1108/ITSE-04-2017-0024</w:t>
      </w:r>
    </w:p>
    <w:p w:rsidR="000C4CF0" w:rsidRDefault="001F15C8">
      <w:pPr>
        <w:spacing w:after="7171"/>
        <w:ind w:left="1380"/>
      </w:pPr>
      <w:r>
        <w:t>Thompson, A. (2011). A systematic review of evidence-based interventions for students with challen</w:t>
      </w:r>
      <w:r>
        <w:t xml:space="preserve">ging </w:t>
      </w:r>
      <w:proofErr w:type="spellStart"/>
      <w:r>
        <w:t>behaviours</w:t>
      </w:r>
      <w:proofErr w:type="spellEnd"/>
      <w:r>
        <w:t xml:space="preserve"> in school settings. </w:t>
      </w:r>
      <w:r>
        <w:rPr>
          <w:i/>
        </w:rPr>
        <w:t>Journal of Evidence-Based Social Work</w:t>
      </w:r>
      <w:r>
        <w:t xml:space="preserve">, </w:t>
      </w:r>
      <w:r>
        <w:rPr>
          <w:i/>
        </w:rPr>
        <w:t>8</w:t>
      </w:r>
      <w:r>
        <w:t>(3), 304– 322.</w:t>
      </w:r>
    </w:p>
    <w:p w:rsidR="000C4CF0" w:rsidRDefault="001F15C8">
      <w:pPr>
        <w:spacing w:after="0" w:line="259" w:lineRule="auto"/>
        <w:ind w:left="0" w:firstLine="0"/>
      </w:pPr>
      <w:hyperlink r:id="rId6">
        <w:r>
          <w:rPr>
            <w:rFonts w:ascii="Arial" w:eastAsia="Arial" w:hAnsi="Arial" w:cs="Arial"/>
            <w:sz w:val="2"/>
          </w:rPr>
          <w:t>Powered by TCPDF (www.tcpdf.org)</w:t>
        </w:r>
      </w:hyperlink>
    </w:p>
    <w:sectPr w:rsidR="000C4CF0">
      <w:headerReference w:type="even" r:id="rId7"/>
      <w:headerReference w:type="default" r:id="rId8"/>
      <w:footerReference w:type="even" r:id="rId9"/>
      <w:footerReference w:type="default" r:id="rId10"/>
      <w:headerReference w:type="first" r:id="rId11"/>
      <w:footerReference w:type="first" r:id="rId12"/>
      <w:pgSz w:w="11900" w:h="16840"/>
      <w:pgMar w:top="387" w:right="1440" w:bottom="20" w:left="57" w:header="720" w:footer="1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15C8" w:rsidRDefault="001F15C8">
      <w:pPr>
        <w:spacing w:after="0" w:line="240" w:lineRule="auto"/>
      </w:pPr>
      <w:r>
        <w:separator/>
      </w:r>
    </w:p>
  </w:endnote>
  <w:endnote w:type="continuationSeparator" w:id="0">
    <w:p w:rsidR="001F15C8" w:rsidRDefault="001F15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4CF0" w:rsidRDefault="001F15C8">
    <w:pPr>
      <w:spacing w:after="367" w:line="259" w:lineRule="auto"/>
      <w:ind w:left="567" w:firstLine="0"/>
    </w:pPr>
    <w:r>
      <w:rPr>
        <w:rFonts w:ascii="Times New Roman" w:eastAsia="Times New Roman" w:hAnsi="Times New Roman" w:cs="Times New Roman"/>
        <w:sz w:val="16"/>
      </w:rPr>
      <w:t>This study source was downloaded by 100000846643214 from CourseHero.com on 08-30-2022 03:51:16 GMT -05:00</w:t>
    </w:r>
  </w:p>
  <w:p w:rsidR="000C4CF0" w:rsidRDefault="001F15C8">
    <w:pPr>
      <w:spacing w:after="0" w:line="259" w:lineRule="auto"/>
      <w:ind w:left="567" w:firstLine="0"/>
    </w:pPr>
    <w:r>
      <w:rPr>
        <w:rFonts w:ascii="Times New Roman" w:eastAsia="Times New Roman" w:hAnsi="Times New Roman" w:cs="Times New Roman"/>
        <w:sz w:val="16"/>
      </w:rPr>
      <w:t>https://www.coursehero.com/file/80687262/20201101172623PM-2055047609-3973762-542387800-OA</w:t>
    </w:r>
    <w:r>
      <w:rPr>
        <w:rFonts w:ascii="Times New Roman" w:eastAsia="Times New Roman" w:hAnsi="Times New Roman" w:cs="Times New Roman"/>
        <w:sz w:val="16"/>
      </w:rPr>
      <w:t>E7018docx/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4CF0" w:rsidRDefault="000C4CF0">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4CF0" w:rsidRDefault="000C4CF0">
    <w:pPr>
      <w:spacing w:after="0" w:line="259" w:lineRule="auto"/>
      <w:ind w:left="567"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15C8" w:rsidRDefault="001F15C8">
      <w:pPr>
        <w:spacing w:after="0" w:line="240" w:lineRule="auto"/>
      </w:pPr>
      <w:r>
        <w:separator/>
      </w:r>
    </w:p>
  </w:footnote>
  <w:footnote w:type="continuationSeparator" w:id="0">
    <w:p w:rsidR="001F15C8" w:rsidRDefault="001F15C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4CF0" w:rsidRDefault="001F15C8">
    <w:pPr>
      <w:spacing w:after="0" w:line="259" w:lineRule="auto"/>
      <w:ind w:left="1385" w:firstLine="0"/>
    </w:pPr>
    <w:r>
      <w:rPr>
        <w:sz w:val="22"/>
      </w:rPr>
      <w:t>Reflective classroom practice</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4CF0" w:rsidRDefault="000C4CF0">
    <w:pPr>
      <w:spacing w:after="0" w:line="259" w:lineRule="auto"/>
      <w:ind w:left="1385"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4CF0" w:rsidRDefault="000C4CF0">
    <w:pPr>
      <w:spacing w:after="160" w:line="259" w:lineRule="auto"/>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4CF0"/>
    <w:rsid w:val="000C4CF0"/>
    <w:rsid w:val="001F15C8"/>
    <w:rsid w:val="00306D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B722F0B-D3BD-472F-A456-77C29F00E8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97" w:line="265" w:lineRule="auto"/>
      <w:ind w:left="1395"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cpdf.org"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1362</Words>
  <Characters>7769</Characters>
  <Application>Microsoft Office Word</Application>
  <DocSecurity>0</DocSecurity>
  <Lines>64</Lines>
  <Paragraphs>18</Paragraphs>
  <ScaleCrop>false</ScaleCrop>
  <Company/>
  <LinksUpToDate>false</LinksUpToDate>
  <CharactersWithSpaces>9113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100000846643214,Uploader: 100000756790002,CHDL-UGC-Meta</cp:keywords>
  <cp:lastModifiedBy>Microsoft account</cp:lastModifiedBy>
  <cp:revision>2</cp:revision>
  <dcterms:created xsi:type="dcterms:W3CDTF">2022-08-30T08:56:00Z</dcterms:created>
  <dcterms:modified xsi:type="dcterms:W3CDTF">2022-08-30T08:56:00Z</dcterms:modified>
</cp:coreProperties>
</file>