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5543" w:rsidRDefault="00937941">
      <w:pPr>
        <w:spacing w:after="96" w:line="259" w:lineRule="auto"/>
        <w:ind w:left="510" w:right="-1232" w:firstLine="0"/>
      </w:pPr>
      <w:r>
        <w:rPr>
          <w:rFonts w:ascii="Arial" w:eastAsia="Arial" w:hAnsi="Arial" w:cs="Arial"/>
        </w:rPr>
        <w:t xml:space="preserve"> </w:t>
      </w:r>
    </w:p>
    <w:p w:rsidR="00A85543" w:rsidRDefault="00937941">
      <w:pPr>
        <w:tabs>
          <w:tab w:val="center" w:pos="3936"/>
          <w:tab w:val="right" w:pos="10384"/>
        </w:tabs>
        <w:spacing w:after="1626"/>
        <w:ind w:left="0" w:firstLine="0"/>
      </w:pPr>
      <w:r>
        <w:rPr>
          <w:sz w:val="22"/>
        </w:rPr>
        <w:tab/>
      </w:r>
    </w:p>
    <w:p w:rsidR="00A85543" w:rsidRDefault="00937941">
      <w:pPr>
        <w:spacing w:after="246" w:line="259" w:lineRule="auto"/>
        <w:ind w:left="1757" w:right="4" w:hanging="10"/>
        <w:jc w:val="center"/>
      </w:pPr>
      <w:r>
        <w:t>Quantitative Research De</w:t>
      </w:r>
      <w:bookmarkStart w:id="0" w:name="_GoBack"/>
      <w:bookmarkEnd w:id="0"/>
      <w:r>
        <w:t>sign: Week 7 Assignment</w:t>
      </w:r>
    </w:p>
    <w:p w:rsidR="00A85543" w:rsidRDefault="00937941">
      <w:pPr>
        <w:spacing w:after="246" w:line="259" w:lineRule="auto"/>
        <w:ind w:left="1757" w:right="2" w:hanging="10"/>
        <w:jc w:val="center"/>
      </w:pPr>
      <w:r>
        <w:br w:type="page"/>
      </w:r>
    </w:p>
    <w:p w:rsidR="00A85543" w:rsidRDefault="00937941">
      <w:pPr>
        <w:pStyle w:val="Heading1"/>
        <w:ind w:left="2477" w:right="1"/>
      </w:pPr>
      <w:r>
        <w:lastRenderedPageBreak/>
        <w:t>Problem</w:t>
      </w:r>
    </w:p>
    <w:p w:rsidR="00A85543" w:rsidRDefault="00937941">
      <w:pPr>
        <w:ind w:left="1730"/>
      </w:pPr>
      <w:r>
        <w:t xml:space="preserve">Early childhood trauma is a significant and pervasive problem that has </w:t>
      </w:r>
      <w:proofErr w:type="spellStart"/>
      <w:r>
        <w:t>longlasting</w:t>
      </w:r>
      <w:proofErr w:type="spellEnd"/>
      <w:r>
        <w:t xml:space="preserve"> consequences into adulthood and effects many areas of growth and development. Specifically, early childhood trauma can influence the process of the parent-child attachment r</w:t>
      </w:r>
      <w:r>
        <w:t>elationship and attachment can also influence the risk and protective factors in early childhood trauma exposure (Cook et al., 2017; Lyons-Ruth et al., 2017). The research regarding young children’s resilience in the face of traumatic events consistently d</w:t>
      </w:r>
      <w:r>
        <w:t xml:space="preserve">emonstrates that resilience is predicted by environmental supports, specifically, the quality of caregiving and maternal wellbeing (Lieberman, 2011; Newman, </w:t>
      </w:r>
      <w:proofErr w:type="spellStart"/>
      <w:r>
        <w:t>Sivaratnam</w:t>
      </w:r>
      <w:proofErr w:type="spellEnd"/>
      <w:r>
        <w:t xml:space="preserve">, &amp; </w:t>
      </w:r>
      <w:proofErr w:type="spellStart"/>
      <w:r>
        <w:t>Komiti</w:t>
      </w:r>
      <w:proofErr w:type="spellEnd"/>
      <w:r>
        <w:t xml:space="preserve">, 2015).  Since there is an emphasis on the quality of the caregiving received </w:t>
      </w:r>
      <w:r>
        <w:t>by the child and maternal well-being on impacting resilience in children and the development of protective factors, it seems prudent to further examine how parent’s past trauma history, their attachment style, their capacity to parent, and their interactio</w:t>
      </w:r>
      <w:r>
        <w:t>nal behaviors with their children impact the parent-child dyad. There is little in the literature to present explication to these relationship-based variables. So how does trauma impact the quality of the parent-child attachment relationship?</w:t>
      </w:r>
    </w:p>
    <w:p w:rsidR="00A85543" w:rsidRDefault="00937941">
      <w:pPr>
        <w:pStyle w:val="Heading1"/>
        <w:ind w:left="2477" w:right="1"/>
      </w:pPr>
      <w:r>
        <w:t>Purpose</w:t>
      </w:r>
    </w:p>
    <w:p w:rsidR="00A85543" w:rsidRDefault="00937941">
      <w:pPr>
        <w:ind w:left="1730"/>
      </w:pPr>
      <w:r>
        <w:t>In or</w:t>
      </w:r>
      <w:r>
        <w:t>der to further contribute to the understanding of trauma-impacted relationships among parents and their children, I would like to explore the existing associations between parents’ past trauma history, their attachment styles, and their state of mind regar</w:t>
      </w:r>
      <w:r>
        <w:t xml:space="preserve">ding their attachment with their child, the impact to the parent-child dyad, and resulting quality of attachment. </w:t>
      </w:r>
    </w:p>
    <w:p w:rsidR="00A85543" w:rsidRDefault="00937941">
      <w:pPr>
        <w:pStyle w:val="Heading1"/>
        <w:ind w:left="2477"/>
      </w:pPr>
      <w:r>
        <w:t>Questions</w:t>
      </w:r>
    </w:p>
    <w:p w:rsidR="00A85543" w:rsidRDefault="00937941">
      <w:pPr>
        <w:ind w:left="1730"/>
      </w:pPr>
      <w:r>
        <w:t>Research questions to address the problem being explored in a quantitative study include: “Does a relationship exist between a moth</w:t>
      </w:r>
      <w:r>
        <w:t xml:space="preserve">er’s experiences with early childhood trauma and the quality of her attachment relationship with her child”? “What </w:t>
      </w:r>
      <w:r>
        <w:lastRenderedPageBreak/>
        <w:t>is the relationship between mother’s trauma history, state of mind, and attachment style on the quality of attachment in the parent-child dya</w:t>
      </w:r>
      <w:r>
        <w:t xml:space="preserve">d”? “How does early childhood trauma impact the caregiver’s state of mind and the resulting quality of the parent-child dyad”? </w:t>
      </w:r>
    </w:p>
    <w:p w:rsidR="00A85543" w:rsidRDefault="00937941">
      <w:pPr>
        <w:spacing w:after="233" w:line="259" w:lineRule="auto"/>
        <w:ind w:left="2477" w:right="721" w:hanging="10"/>
        <w:jc w:val="center"/>
      </w:pPr>
      <w:r>
        <w:rPr>
          <w:b/>
        </w:rPr>
        <w:t>Method</w:t>
      </w:r>
    </w:p>
    <w:p w:rsidR="00A85543" w:rsidRDefault="00937941">
      <w:pPr>
        <w:pStyle w:val="Heading1"/>
        <w:ind w:left="1740"/>
        <w:jc w:val="left"/>
      </w:pPr>
      <w:r>
        <w:t>Surveys</w:t>
      </w:r>
    </w:p>
    <w:p w:rsidR="00A85543" w:rsidRDefault="00937941">
      <w:pPr>
        <w:ind w:left="1730"/>
      </w:pPr>
      <w:r>
        <w:t>Surveys as a method of data collection would be beneficial in addressing some of the research questions proposed for this study. A survey could be designed to gather pertinent data that addresses the participants past experiences with trauma in early child</w:t>
      </w:r>
      <w:r>
        <w:t>hood, questions that capture their thoughts, feelings, and experiences currently related to parenting young children, as well as questions designed to capture attachment style. Some advantages to using this form of data collection include reduced cost, con</w:t>
      </w:r>
      <w:r>
        <w:t>venience, increased representativeness due to ability to capture a larger sample, very small chance of observer subjectivity, meaningful statistical significance, and more precise results (Fink, 2011). Some disadvantages include inflexibility and not reall</w:t>
      </w:r>
      <w:r>
        <w:t>y appropriate for controversial issues, but specifically, in this case the largest disadvantage is that the content deals with some emotionality that may be better captured by in-person interviews rather than cold surveys in which participants may chose no</w:t>
      </w:r>
      <w:r>
        <w:t>t to respond (Fink,</w:t>
      </w:r>
    </w:p>
    <w:p w:rsidR="00A85543" w:rsidRDefault="00937941">
      <w:pPr>
        <w:spacing w:after="236" w:line="259" w:lineRule="auto"/>
        <w:ind w:left="1730" w:firstLine="0"/>
      </w:pPr>
      <w:r>
        <w:t xml:space="preserve">2011). </w:t>
      </w:r>
    </w:p>
    <w:p w:rsidR="00A85543" w:rsidRDefault="00937941">
      <w:pPr>
        <w:pStyle w:val="Heading1"/>
        <w:ind w:left="1740"/>
        <w:jc w:val="left"/>
      </w:pPr>
      <w:r>
        <w:t>Quasi-Experiments</w:t>
      </w:r>
    </w:p>
    <w:p w:rsidR="00A85543" w:rsidRDefault="00937941">
      <w:pPr>
        <w:ind w:left="1730"/>
      </w:pPr>
      <w:r>
        <w:t xml:space="preserve">An example of a quasi-experiment that could be designed and implemented for this study may be using a sample of mothers with young children an un-obstructive observation of unstructured and structured playtime </w:t>
      </w:r>
      <w:r>
        <w:t xml:space="preserve">between mother and child could be conducted. The parent-child dyads could be assigned to one of two groups. The first group would include mothers with trauma histories in early childhood and the second </w:t>
      </w:r>
      <w:r>
        <w:lastRenderedPageBreak/>
        <w:t>group could consist of parent-child dyads in which the</w:t>
      </w:r>
      <w:r>
        <w:t xml:space="preserve"> mother’s do not have trauma histories. Advantages for utilizing a quasi-experiment would consist of increased external validity, more genuine reactions from test subjects, can be useful in determining general trends, and the results generated could reinfo</w:t>
      </w:r>
      <w:r>
        <w:t>rce existing case studies by providing statistical analysis (Creswell &amp; Creswell, 2018). Disadvantages include a lack of randomization that limits generalizability of the results to the larger population and creates reduced internal validity as well as les</w:t>
      </w:r>
      <w:r>
        <w:t xml:space="preserve">s definitive conclusions about causality </w:t>
      </w:r>
    </w:p>
    <w:p w:rsidR="00A85543" w:rsidRDefault="00937941">
      <w:pPr>
        <w:spacing w:after="236" w:line="259" w:lineRule="auto"/>
        <w:ind w:left="1730" w:firstLine="0"/>
      </w:pPr>
      <w:r>
        <w:t>(Creswell &amp; Creswell, 2018).</w:t>
      </w:r>
    </w:p>
    <w:p w:rsidR="00A85543" w:rsidRDefault="00937941">
      <w:pPr>
        <w:spacing w:after="233" w:line="259" w:lineRule="auto"/>
        <w:ind w:left="2477" w:right="720" w:hanging="10"/>
        <w:jc w:val="center"/>
      </w:pPr>
      <w:r>
        <w:rPr>
          <w:b/>
        </w:rPr>
        <w:t>Results</w:t>
      </w:r>
    </w:p>
    <w:p w:rsidR="00A85543" w:rsidRDefault="00937941">
      <w:pPr>
        <w:pStyle w:val="Heading1"/>
        <w:ind w:left="1740"/>
        <w:jc w:val="left"/>
      </w:pPr>
      <w:r>
        <w:t>Analysis</w:t>
      </w:r>
    </w:p>
    <w:p w:rsidR="00A85543" w:rsidRDefault="00937941">
      <w:pPr>
        <w:ind w:left="1730"/>
      </w:pPr>
      <w:r>
        <w:t>In quantitative research statistical analysis is used to analyze collected data and will either summarize the data through descriptive statistics or identify statistica</w:t>
      </w:r>
      <w:r>
        <w:t xml:space="preserve">lly significant differences between groups of data through inferential statistics, both of which provide the ability to describe patterns, relationships, and connections (Hoy, 2012). Analysis often depends on data collection methods and for the purpose of </w:t>
      </w:r>
      <w:r>
        <w:t>my proposed study, using a quasi-experimental design lends itself to possibly utilizing both descriptive and inferential statistics to capture both categorical and numerical variables that are identified by my research questions (Hoy, 2012). Type 1 errors,</w:t>
      </w:r>
      <w:r>
        <w:t xml:space="preserve"> the rejection of a true null hypothesis (false positive), Type 2 errors, retaining a null hypothesis (false negative), as well as issues with statistical power, often occur in data analysis and some ways to avoid these errors is to increase sample size an</w:t>
      </w:r>
      <w:r>
        <w:t xml:space="preserve">d run longer experiments when able (Hoy, 2012). These errors can be impactful if not identified and controlled for as best as possible as it leads to insignificant results that lack meaningful identification of the associations between variables, which is </w:t>
      </w:r>
      <w:r>
        <w:t xml:space="preserve">what this study is designed to do. </w:t>
      </w:r>
      <w:r>
        <w:br w:type="page"/>
      </w:r>
    </w:p>
    <w:p w:rsidR="00A85543" w:rsidRDefault="00937941">
      <w:pPr>
        <w:spacing w:after="236" w:line="259" w:lineRule="auto"/>
        <w:ind w:left="1747" w:firstLine="0"/>
        <w:jc w:val="center"/>
      </w:pPr>
      <w:r>
        <w:lastRenderedPageBreak/>
        <w:t>References</w:t>
      </w:r>
    </w:p>
    <w:p w:rsidR="00A85543" w:rsidRDefault="00937941">
      <w:pPr>
        <w:spacing w:after="0"/>
        <w:ind w:left="2190" w:hanging="460"/>
      </w:pPr>
      <w:r>
        <w:rPr>
          <w:color w:val="333333"/>
        </w:rPr>
        <w:t xml:space="preserve">Analyzing the structure and substance of hypotheses. (2010). In Hoy, W. K. </w:t>
      </w:r>
      <w:r>
        <w:rPr>
          <w:i/>
          <w:color w:val="333333"/>
        </w:rPr>
        <w:t>Quantitative research in education: A primer</w:t>
      </w:r>
      <w:r>
        <w:rPr>
          <w:color w:val="333333"/>
        </w:rPr>
        <w:t xml:space="preserve"> (pp. 67-90). Thousand Oaks, CA: SAGE </w:t>
      </w:r>
    </w:p>
    <w:p w:rsidR="00A85543" w:rsidRDefault="00937941">
      <w:pPr>
        <w:spacing w:after="236" w:line="259" w:lineRule="auto"/>
        <w:ind w:left="2190" w:hanging="10"/>
      </w:pPr>
      <w:r>
        <w:rPr>
          <w:color w:val="333333"/>
        </w:rPr>
        <w:t xml:space="preserve">Publications Ltd. </w:t>
      </w:r>
      <w:proofErr w:type="spellStart"/>
      <w:r>
        <w:rPr>
          <w:color w:val="0000FF"/>
          <w:u w:val="single" w:color="0000FF"/>
        </w:rPr>
        <w:t>doi</w:t>
      </w:r>
      <w:proofErr w:type="spellEnd"/>
      <w:r>
        <w:rPr>
          <w:color w:val="0000FF"/>
          <w:u w:val="single" w:color="0000FF"/>
        </w:rPr>
        <w:t>: 10.4135/9781452272061</w:t>
      </w:r>
    </w:p>
    <w:p w:rsidR="00A85543" w:rsidRDefault="00937941">
      <w:pPr>
        <w:spacing w:after="0"/>
        <w:ind w:left="2180" w:hanging="450"/>
      </w:pPr>
      <w:r>
        <w:rPr>
          <w:color w:val="222222"/>
        </w:rPr>
        <w:t>Cook,</w:t>
      </w:r>
      <w:r>
        <w:rPr>
          <w:color w:val="222222"/>
        </w:rPr>
        <w:t xml:space="preserve"> A., Spinazzola, J., Ford, J., </w:t>
      </w:r>
      <w:proofErr w:type="spellStart"/>
      <w:r>
        <w:rPr>
          <w:color w:val="222222"/>
        </w:rPr>
        <w:t>Lanktree</w:t>
      </w:r>
      <w:proofErr w:type="spellEnd"/>
      <w:r>
        <w:rPr>
          <w:color w:val="222222"/>
        </w:rPr>
        <w:t xml:space="preserve">, C., </w:t>
      </w:r>
      <w:proofErr w:type="spellStart"/>
      <w:r>
        <w:rPr>
          <w:color w:val="222222"/>
        </w:rPr>
        <w:t>Blaustein</w:t>
      </w:r>
      <w:proofErr w:type="spellEnd"/>
      <w:r>
        <w:rPr>
          <w:color w:val="222222"/>
        </w:rPr>
        <w:t xml:space="preserve">, M., </w:t>
      </w:r>
      <w:proofErr w:type="spellStart"/>
      <w:r>
        <w:rPr>
          <w:color w:val="222222"/>
        </w:rPr>
        <w:t>Cloitre</w:t>
      </w:r>
      <w:proofErr w:type="spellEnd"/>
      <w:r>
        <w:rPr>
          <w:color w:val="222222"/>
        </w:rPr>
        <w:t>, M</w:t>
      </w:r>
      <w:proofErr w:type="gramStart"/>
      <w:r>
        <w:rPr>
          <w:color w:val="222222"/>
        </w:rPr>
        <w:t>., ...</w:t>
      </w:r>
      <w:proofErr w:type="gramEnd"/>
      <w:r>
        <w:rPr>
          <w:color w:val="222222"/>
        </w:rPr>
        <w:t xml:space="preserve"> &amp; </w:t>
      </w:r>
      <w:proofErr w:type="spellStart"/>
      <w:r>
        <w:rPr>
          <w:color w:val="222222"/>
        </w:rPr>
        <w:t>Mallah</w:t>
      </w:r>
      <w:proofErr w:type="spellEnd"/>
      <w:r>
        <w:rPr>
          <w:color w:val="222222"/>
        </w:rPr>
        <w:t xml:space="preserve">, K. (2017). Complex trauma in children and adolescents. </w:t>
      </w:r>
      <w:r>
        <w:rPr>
          <w:i/>
          <w:color w:val="222222"/>
        </w:rPr>
        <w:t>Psychiatric annals</w:t>
      </w:r>
      <w:r>
        <w:rPr>
          <w:color w:val="222222"/>
        </w:rPr>
        <w:t xml:space="preserve">, </w:t>
      </w:r>
      <w:r>
        <w:rPr>
          <w:i/>
          <w:color w:val="222222"/>
        </w:rPr>
        <w:t>35</w:t>
      </w:r>
      <w:r>
        <w:rPr>
          <w:color w:val="222222"/>
        </w:rPr>
        <w:t>(5), 390-398.</w:t>
      </w:r>
    </w:p>
    <w:p w:rsidR="00A85543" w:rsidRDefault="00937941">
      <w:pPr>
        <w:spacing w:after="0"/>
        <w:ind w:left="2190" w:hanging="460"/>
      </w:pPr>
      <w:r>
        <w:rPr>
          <w:color w:val="333333"/>
        </w:rPr>
        <w:t xml:space="preserve">Conceptual foundations of statistics. (2010). In Hoy, W. K. </w:t>
      </w:r>
      <w:r>
        <w:rPr>
          <w:i/>
          <w:color w:val="333333"/>
        </w:rPr>
        <w:t>Quantitative research in education: A primer</w:t>
      </w:r>
      <w:r>
        <w:rPr>
          <w:color w:val="333333"/>
        </w:rPr>
        <w:t xml:space="preserve"> (pp. 45-66). Thousand Oaks, CA: SAGE Publications Ltd. </w:t>
      </w:r>
      <w:proofErr w:type="spellStart"/>
      <w:r>
        <w:rPr>
          <w:color w:val="0000FF"/>
          <w:u w:val="single" w:color="0000FF"/>
        </w:rPr>
        <w:t>doi</w:t>
      </w:r>
      <w:proofErr w:type="spellEnd"/>
      <w:r>
        <w:rPr>
          <w:color w:val="0000FF"/>
          <w:u w:val="single" w:color="0000FF"/>
        </w:rPr>
        <w:t xml:space="preserve">: </w:t>
      </w:r>
    </w:p>
    <w:p w:rsidR="00A85543" w:rsidRDefault="00937941">
      <w:pPr>
        <w:spacing w:after="236" w:line="259" w:lineRule="auto"/>
        <w:ind w:left="2190" w:hanging="10"/>
      </w:pPr>
      <w:r>
        <w:rPr>
          <w:color w:val="0000FF"/>
          <w:u w:val="single" w:color="0000FF"/>
        </w:rPr>
        <w:t>10.4135/9781452272061</w:t>
      </w:r>
    </w:p>
    <w:p w:rsidR="00A85543" w:rsidRDefault="00937941">
      <w:pPr>
        <w:spacing w:after="236" w:line="259" w:lineRule="auto"/>
        <w:ind w:left="1740" w:hanging="10"/>
      </w:pPr>
      <w:r>
        <w:rPr>
          <w:color w:val="222222"/>
        </w:rPr>
        <w:t xml:space="preserve">Creswell, J. W., &amp; Creswell, J. D. (2018). Quantitative Methods. </w:t>
      </w:r>
      <w:r>
        <w:rPr>
          <w:i/>
          <w:color w:val="222222"/>
        </w:rPr>
        <w:t xml:space="preserve">Research Design: </w:t>
      </w:r>
    </w:p>
    <w:p w:rsidR="00A85543" w:rsidRDefault="00937941">
      <w:pPr>
        <w:spacing w:after="236" w:line="259" w:lineRule="auto"/>
        <w:ind w:left="2195" w:firstLine="0"/>
      </w:pPr>
      <w:r>
        <w:rPr>
          <w:i/>
          <w:color w:val="222222"/>
        </w:rPr>
        <w:t xml:space="preserve">Qualitative, Quantitative, and Mixed Methods Approaches </w:t>
      </w:r>
      <w:r>
        <w:rPr>
          <w:color w:val="222222"/>
        </w:rPr>
        <w:t xml:space="preserve">(Fifth Edition). Location: </w:t>
      </w:r>
    </w:p>
    <w:p w:rsidR="00A85543" w:rsidRDefault="00937941">
      <w:pPr>
        <w:spacing w:after="236" w:line="259" w:lineRule="auto"/>
        <w:ind w:left="2205" w:hanging="10"/>
      </w:pPr>
      <w:r>
        <w:rPr>
          <w:color w:val="222222"/>
        </w:rPr>
        <w:t>SAGE Publications, Inc.</w:t>
      </w:r>
      <w:r>
        <w:rPr>
          <w:i/>
          <w:color w:val="222222"/>
        </w:rPr>
        <w:t xml:space="preserve"> </w:t>
      </w:r>
    </w:p>
    <w:p w:rsidR="00A85543" w:rsidRDefault="00937941">
      <w:pPr>
        <w:ind w:left="2450" w:right="747" w:hanging="720"/>
      </w:pPr>
      <w:r>
        <w:t>Lieberman, A. F., Chu, A., Van Horn, P., &amp; Harris, W. W. (2011). Trauma in early childhood: Empirical evidence and clinical implications.</w:t>
      </w:r>
      <w:r>
        <w:rPr>
          <w:i/>
        </w:rPr>
        <w:t xml:space="preserve"> Developme</w:t>
      </w:r>
      <w:r>
        <w:rPr>
          <w:i/>
        </w:rPr>
        <w:t>nt and Psychopathology, 23</w:t>
      </w:r>
      <w:r>
        <w:t>(2), 397-410. Retrieved from</w:t>
      </w:r>
      <w:r>
        <w:rPr>
          <w:color w:val="53565A"/>
        </w:rPr>
        <w:t xml:space="preserve"> </w:t>
      </w:r>
      <w:r>
        <w:rPr>
          <w:color w:val="0000FF"/>
          <w:u w:val="single" w:color="0000FF"/>
        </w:rPr>
        <w:t>http://search.proquest.com.proxy1.ncu.edu/docview/865917651?</w:t>
      </w:r>
    </w:p>
    <w:p w:rsidR="00A85543" w:rsidRDefault="00937941">
      <w:pPr>
        <w:spacing w:after="236" w:line="259" w:lineRule="auto"/>
        <w:ind w:left="2475" w:hanging="10"/>
      </w:pPr>
      <w:proofErr w:type="spellStart"/>
      <w:proofErr w:type="gramStart"/>
      <w:r>
        <w:rPr>
          <w:color w:val="0000FF"/>
          <w:u w:val="single" w:color="0000FF"/>
        </w:rPr>
        <w:t>accountid</w:t>
      </w:r>
      <w:proofErr w:type="spellEnd"/>
      <w:r>
        <w:rPr>
          <w:color w:val="0000FF"/>
          <w:u w:val="single" w:color="0000FF"/>
        </w:rPr>
        <w:t>=</w:t>
      </w:r>
      <w:proofErr w:type="gramEnd"/>
      <w:r>
        <w:rPr>
          <w:color w:val="0000FF"/>
          <w:u w:val="single" w:color="0000FF"/>
        </w:rPr>
        <w:t>28180</w:t>
      </w:r>
    </w:p>
    <w:p w:rsidR="00A85543" w:rsidRDefault="00937941">
      <w:pPr>
        <w:ind w:left="2176" w:hanging="446"/>
      </w:pPr>
      <w:r>
        <w:t xml:space="preserve">Lyons-Ruth, K., Todd-Manly, J., Von Klitzing, K., </w:t>
      </w:r>
      <w:proofErr w:type="spellStart"/>
      <w:r>
        <w:t>Tamminen</w:t>
      </w:r>
      <w:proofErr w:type="spellEnd"/>
      <w:r>
        <w:t xml:space="preserve">, T., </w:t>
      </w:r>
      <w:proofErr w:type="spellStart"/>
      <w:r>
        <w:t>Emde</w:t>
      </w:r>
      <w:proofErr w:type="spellEnd"/>
      <w:r>
        <w:t>, R., Fitzgerald, H</w:t>
      </w:r>
      <w:proofErr w:type="gramStart"/>
      <w:r>
        <w:t>., . . .</w:t>
      </w:r>
      <w:proofErr w:type="gramEnd"/>
      <w:r>
        <w:t xml:space="preserve"> Watanabe, H. (2017). The wor</w:t>
      </w:r>
      <w:r>
        <w:t xml:space="preserve">ldwide burden of infant mental and emotional disorder: Report of the task force of the world association for infant mental health. </w:t>
      </w:r>
    </w:p>
    <w:p w:rsidR="00A85543" w:rsidRDefault="00937941">
      <w:pPr>
        <w:spacing w:after="236" w:line="259" w:lineRule="auto"/>
        <w:ind w:left="2191" w:firstLine="0"/>
      </w:pPr>
      <w:r>
        <w:rPr>
          <w:i/>
        </w:rPr>
        <w:t>Infant Mental Health Journal, 38</w:t>
      </w:r>
      <w:r>
        <w:t>(6), 695-705.</w:t>
      </w:r>
      <w:r>
        <w:rPr>
          <w:color w:val="008000"/>
        </w:rPr>
        <w:t xml:space="preserve"> </w:t>
      </w:r>
      <w:proofErr w:type="spellStart"/>
      <w:proofErr w:type="gramStart"/>
      <w:r>
        <w:rPr>
          <w:color w:val="0000FF"/>
          <w:u w:val="single" w:color="0000FF"/>
        </w:rPr>
        <w:t>doi</w:t>
      </w:r>
      <w:proofErr w:type="spellEnd"/>
      <w:proofErr w:type="gramEnd"/>
      <w:r>
        <w:rPr>
          <w:color w:val="0000FF"/>
          <w:u w:val="single" w:color="0000FF"/>
        </w:rPr>
        <w:t>: 10.1002/imjh.21674</w:t>
      </w:r>
    </w:p>
    <w:p w:rsidR="00A85543" w:rsidRDefault="00937941">
      <w:pPr>
        <w:ind w:left="1730" w:firstLine="0"/>
      </w:pPr>
      <w:r>
        <w:t xml:space="preserve">Newman, L., </w:t>
      </w:r>
      <w:proofErr w:type="spellStart"/>
      <w:r>
        <w:t>Sivaratnam</w:t>
      </w:r>
      <w:proofErr w:type="spellEnd"/>
      <w:r>
        <w:t xml:space="preserve">, C., &amp; </w:t>
      </w:r>
      <w:proofErr w:type="spellStart"/>
      <w:r>
        <w:t>Komiti</w:t>
      </w:r>
      <w:proofErr w:type="spellEnd"/>
      <w:r>
        <w:t>, A. (2015). Attac</w:t>
      </w:r>
      <w:r>
        <w:t>hment and early brain development – neuroprotective interventions in infant–caregiver therapy.</w:t>
      </w:r>
      <w:r>
        <w:rPr>
          <w:i/>
        </w:rPr>
        <w:t xml:space="preserve"> Translational Developmental Psychiatry, 3</w:t>
      </w:r>
      <w:r>
        <w:t xml:space="preserve">(1). Retrieved from </w:t>
      </w:r>
      <w:r>
        <w:rPr>
          <w:color w:val="0000FF"/>
          <w:u w:val="single" w:color="0000FF"/>
        </w:rPr>
        <w:t>https://search.proquest.com/docview/1756571146</w:t>
      </w:r>
    </w:p>
    <w:p w:rsidR="00A85543" w:rsidRDefault="00937941">
      <w:pPr>
        <w:spacing w:after="10839"/>
        <w:ind w:left="2450" w:hanging="720"/>
      </w:pPr>
      <w:r>
        <w:rPr>
          <w:color w:val="333333"/>
        </w:rPr>
        <w:lastRenderedPageBreak/>
        <w:t xml:space="preserve">What statistics do for </w:t>
      </w:r>
      <w:proofErr w:type="gramStart"/>
      <w:r>
        <w:rPr>
          <w:color w:val="333333"/>
        </w:rPr>
        <w:t>surveys.</w:t>
      </w:r>
      <w:proofErr w:type="gramEnd"/>
      <w:r>
        <w:rPr>
          <w:color w:val="333333"/>
        </w:rPr>
        <w:t xml:space="preserve"> (2003). In Fink, A. </w:t>
      </w:r>
      <w:r>
        <w:rPr>
          <w:i/>
          <w:color w:val="333333"/>
        </w:rPr>
        <w:t>T</w:t>
      </w:r>
      <w:r>
        <w:rPr>
          <w:i/>
          <w:color w:val="333333"/>
        </w:rPr>
        <w:t>he Survey kit: How to manage, analyze and interpret survey data</w:t>
      </w:r>
      <w:r>
        <w:rPr>
          <w:color w:val="333333"/>
        </w:rPr>
        <w:t xml:space="preserve"> (pp. 25-52). Thousand Oaks, CA: SAGE Publications Ltd. </w:t>
      </w:r>
      <w:proofErr w:type="spellStart"/>
      <w:r>
        <w:rPr>
          <w:color w:val="0000FF"/>
          <w:u w:val="single" w:color="0000FF"/>
        </w:rPr>
        <w:t>doi</w:t>
      </w:r>
      <w:proofErr w:type="spellEnd"/>
      <w:r>
        <w:rPr>
          <w:color w:val="0000FF"/>
          <w:u w:val="single" w:color="0000FF"/>
        </w:rPr>
        <w:t>: 10.4135/9781412984454</w:t>
      </w:r>
    </w:p>
    <w:p w:rsidR="00A85543" w:rsidRDefault="00937941">
      <w:pPr>
        <w:spacing w:after="0" w:line="259" w:lineRule="auto"/>
        <w:ind w:left="0" w:firstLine="0"/>
      </w:pPr>
      <w:hyperlink r:id="rId6">
        <w:r>
          <w:rPr>
            <w:rFonts w:ascii="Arial" w:eastAsia="Arial" w:hAnsi="Arial" w:cs="Arial"/>
            <w:sz w:val="2"/>
          </w:rPr>
          <w:t>Powered by TCPDF (www.tcpdf.org)</w:t>
        </w:r>
      </w:hyperlink>
    </w:p>
    <w:sectPr w:rsidR="00A85543">
      <w:headerReference w:type="even" r:id="rId7"/>
      <w:headerReference w:type="default" r:id="rId8"/>
      <w:footerReference w:type="even" r:id="rId9"/>
      <w:footerReference w:type="default" r:id="rId10"/>
      <w:headerReference w:type="first" r:id="rId11"/>
      <w:footerReference w:type="first" r:id="rId12"/>
      <w:pgSz w:w="12240" w:h="15840"/>
      <w:pgMar w:top="387" w:right="1799"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7941" w:rsidRDefault="00937941">
      <w:pPr>
        <w:spacing w:after="0" w:line="240" w:lineRule="auto"/>
      </w:pPr>
      <w:r>
        <w:separator/>
      </w:r>
    </w:p>
  </w:endnote>
  <w:endnote w:type="continuationSeparator" w:id="0">
    <w:p w:rsidR="00937941" w:rsidRDefault="009379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5543" w:rsidRDefault="00937941">
    <w:pPr>
      <w:spacing w:after="367" w:line="259" w:lineRule="auto"/>
      <w:ind w:left="567" w:firstLine="0"/>
    </w:pPr>
    <w:r>
      <w:rPr>
        <w:rFonts w:ascii="Times New Roman" w:eastAsia="Times New Roman" w:hAnsi="Times New Roman" w:cs="Times New Roman"/>
        <w:sz w:val="16"/>
      </w:rPr>
      <w:t>This study source was downloaded by 100000846637796 from CourseHero.com on 09-08-2022 03:47:27 GMT -05:00</w:t>
    </w:r>
  </w:p>
  <w:p w:rsidR="00A85543" w:rsidRDefault="00937941">
    <w:pPr>
      <w:spacing w:after="0" w:line="259" w:lineRule="auto"/>
      <w:ind w:left="567" w:firstLine="0"/>
    </w:pPr>
    <w:r>
      <w:rPr>
        <w:rFonts w:ascii="Times New Roman" w:eastAsia="Times New Roman" w:hAnsi="Times New Roman" w:cs="Times New Roman"/>
        <w:sz w:val="16"/>
      </w:rPr>
      <w:t>https://www.coursehero.com/file/56398579/CrossSMFT7103-7docx/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5543" w:rsidRDefault="00A85543">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5543" w:rsidRDefault="00A85543">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7941" w:rsidRDefault="00937941">
      <w:pPr>
        <w:spacing w:after="0" w:line="240" w:lineRule="auto"/>
      </w:pPr>
      <w:r>
        <w:separator/>
      </w:r>
    </w:p>
  </w:footnote>
  <w:footnote w:type="continuationSeparator" w:id="0">
    <w:p w:rsidR="00937941" w:rsidRDefault="009379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5543" w:rsidRDefault="00937941">
    <w:pPr>
      <w:tabs>
        <w:tab w:val="center" w:pos="3936"/>
        <w:tab w:val="right" w:pos="10384"/>
      </w:tabs>
      <w:spacing w:after="0" w:line="259" w:lineRule="auto"/>
      <w:ind w:left="0" w:firstLine="0"/>
    </w:pPr>
    <w:r>
      <w:rPr>
        <w:sz w:val="22"/>
      </w:rPr>
      <w:tab/>
    </w:r>
    <w:r>
      <w:t>Running Head: Quantitative Research Design</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5543" w:rsidRDefault="00A85543">
    <w:pPr>
      <w:tabs>
        <w:tab w:val="center" w:pos="3936"/>
        <w:tab w:val="right" w:pos="10384"/>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5543" w:rsidRDefault="00A85543">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543"/>
    <w:rsid w:val="00937941"/>
    <w:rsid w:val="00A85543"/>
    <w:rsid w:val="00DE7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A2705A-EA52-4A32-A374-340B8AC5F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745" w:firstLine="7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3"/>
      <w:ind w:left="2476"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1123</Words>
  <Characters>6406</Characters>
  <Application>Microsoft Office Word</Application>
  <DocSecurity>0</DocSecurity>
  <Lines>53</Lines>
  <Paragraphs>15</Paragraphs>
  <ScaleCrop>false</ScaleCrop>
  <Company/>
  <LinksUpToDate>false</LinksUpToDate>
  <CharactersWithSpaces>7514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100000846637796,Uploader: 100000778280285,CHDL-UGC-Meta</cp:keywords>
  <cp:lastModifiedBy>Microsoft account</cp:lastModifiedBy>
  <cp:revision>2</cp:revision>
  <dcterms:created xsi:type="dcterms:W3CDTF">2022-09-08T08:59:00Z</dcterms:created>
  <dcterms:modified xsi:type="dcterms:W3CDTF">2022-09-08T08:59:00Z</dcterms:modified>
</cp:coreProperties>
</file>