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2CA1" w:rsidRDefault="003A03C0" w:rsidP="00616E32">
      <w:pPr>
        <w:spacing w:after="5774" w:line="259" w:lineRule="auto"/>
        <w:ind w:left="510" w:right="-894" w:firstLine="0"/>
      </w:pPr>
      <w:proofErr w:type="spellStart"/>
      <w:r>
        <w:t>Psy</w:t>
      </w:r>
      <w:proofErr w:type="spellEnd"/>
      <w:r>
        <w:t xml:space="preserve"> 201 </w:t>
      </w:r>
      <w:r>
        <w:br w:type="page"/>
      </w:r>
      <w:bookmarkStart w:id="0" w:name="_GoBack"/>
      <w:bookmarkEnd w:id="0"/>
    </w:p>
    <w:p w:rsidR="00502CA1" w:rsidRDefault="003A03C0" w:rsidP="00616E32">
      <w:r>
        <w:lastRenderedPageBreak/>
        <w:t xml:space="preserve">The article I chose was “Using Engagement Strategies to Facilitate Children’s Learning and Success” by Judy R. </w:t>
      </w:r>
      <w:proofErr w:type="spellStart"/>
      <w:r>
        <w:t>Jablon</w:t>
      </w:r>
      <w:proofErr w:type="spellEnd"/>
      <w:r>
        <w:t xml:space="preserve"> and Michael Wilkinson. This article is specifically addressing different ways to engage children in the classroom. This is a significant t</w:t>
      </w:r>
      <w:r>
        <w:t xml:space="preserve">opic related to this course because we are learning how to be good teachers and understand adolescents better. This topic is helping us learn how to engage students in the classroom in a positive way. </w:t>
      </w:r>
    </w:p>
    <w:p w:rsidR="00502CA1" w:rsidRDefault="003A03C0">
      <w:pPr>
        <w:spacing w:after="236" w:line="259" w:lineRule="auto"/>
        <w:ind w:left="2115"/>
      </w:pPr>
      <w:r>
        <w:t>The authors used many references. These references are</w:t>
      </w:r>
      <w:r>
        <w:t>:</w:t>
      </w:r>
    </w:p>
    <w:p w:rsidR="00502CA1" w:rsidRDefault="003A03C0">
      <w:pPr>
        <w:ind w:left="2090" w:hanging="720"/>
      </w:pPr>
      <w:r>
        <w:t xml:space="preserve">Brewster, C., &amp; J. </w:t>
      </w:r>
      <w:proofErr w:type="spellStart"/>
      <w:r>
        <w:t>Fager</w:t>
      </w:r>
      <w:proofErr w:type="spellEnd"/>
      <w:r>
        <w:t>. 2000. Increasing student engagement and motivation: From time on task to homework. Portland, OR: Northwest Regional Educational Laboratory. Online: www.nwrel.org/ request/oct00/textonly.html.</w:t>
      </w:r>
    </w:p>
    <w:p w:rsidR="00502CA1" w:rsidRDefault="003A03C0">
      <w:pPr>
        <w:ind w:left="2090" w:hanging="720"/>
      </w:pPr>
      <w:r>
        <w:t xml:space="preserve"> </w:t>
      </w:r>
      <w:proofErr w:type="spellStart"/>
      <w:r>
        <w:t>Felner</w:t>
      </w:r>
      <w:proofErr w:type="spellEnd"/>
      <w:r>
        <w:t xml:space="preserve">, R.D., A.W. Jackson, D. </w:t>
      </w:r>
      <w:proofErr w:type="spellStart"/>
      <w:r>
        <w:t>Kasa</w:t>
      </w:r>
      <w:r>
        <w:t>k</w:t>
      </w:r>
      <w:proofErr w:type="spellEnd"/>
      <w:r>
        <w:t xml:space="preserve">, P. </w:t>
      </w:r>
      <w:proofErr w:type="spellStart"/>
      <w:r>
        <w:t>Mulhall</w:t>
      </w:r>
      <w:proofErr w:type="spellEnd"/>
      <w:r>
        <w:t xml:space="preserve">, S. Brand, &amp; N. Flowers. 1997. The impact of school reform for the middle years: Longitudinal study of a network engaged in Turning Points-based comprehensive school transformation. Phi Delta </w:t>
      </w:r>
      <w:proofErr w:type="spellStart"/>
      <w:r>
        <w:t>Kappan</w:t>
      </w:r>
      <w:proofErr w:type="spellEnd"/>
      <w:r>
        <w:t xml:space="preserve"> 78 (March): 528– 32; 541–50. </w:t>
      </w:r>
    </w:p>
    <w:p w:rsidR="00502CA1" w:rsidRDefault="003A03C0">
      <w:pPr>
        <w:spacing w:after="236" w:line="259" w:lineRule="auto"/>
        <w:ind w:left="1380"/>
      </w:pPr>
      <w:r>
        <w:t>Finn, J.D., &amp;</w:t>
      </w:r>
      <w:r>
        <w:t xml:space="preserve"> D.A. Rock. 1997. Academic success among students at risk for school failure. </w:t>
      </w:r>
    </w:p>
    <w:p w:rsidR="00502CA1" w:rsidRDefault="003A03C0">
      <w:pPr>
        <w:spacing w:after="236" w:line="259" w:lineRule="auto"/>
        <w:ind w:left="2115"/>
      </w:pPr>
      <w:r>
        <w:t xml:space="preserve">Journal of Applied Psychology 82 (2): 221–34. </w:t>
      </w:r>
    </w:p>
    <w:p w:rsidR="00502CA1" w:rsidRDefault="003A03C0">
      <w:pPr>
        <w:spacing w:after="236" w:line="259" w:lineRule="auto"/>
        <w:ind w:left="1380"/>
      </w:pPr>
      <w:proofErr w:type="spellStart"/>
      <w:r>
        <w:t>Goodlad</w:t>
      </w:r>
      <w:proofErr w:type="spellEnd"/>
      <w:r>
        <w:t xml:space="preserve">, J.I. 2004. A place called school: Prospects for the future. 20th anniversary </w:t>
      </w:r>
      <w:proofErr w:type="gramStart"/>
      <w:r>
        <w:t>ed</w:t>
      </w:r>
      <w:proofErr w:type="gramEnd"/>
      <w:r>
        <w:t xml:space="preserve">. New </w:t>
      </w:r>
    </w:p>
    <w:p w:rsidR="00502CA1" w:rsidRDefault="003A03C0">
      <w:pPr>
        <w:spacing w:after="236" w:line="259" w:lineRule="auto"/>
        <w:ind w:left="2115"/>
      </w:pPr>
      <w:r>
        <w:t xml:space="preserve">York: McGraw-Hill. </w:t>
      </w:r>
    </w:p>
    <w:p w:rsidR="00502CA1" w:rsidRDefault="003A03C0">
      <w:pPr>
        <w:ind w:left="2090" w:hanging="720"/>
      </w:pPr>
      <w:r>
        <w:t>Graham, S., &amp; B</w:t>
      </w:r>
      <w:r>
        <w:t xml:space="preserve">. Weiner. 1996. Theories and principles of motivation. In Handbook of educational psychology, eds. D. Berliner &amp; R.C. Calfee, 62–84. Mahwah, NJ: Erlbaum. </w:t>
      </w:r>
    </w:p>
    <w:p w:rsidR="00502CA1" w:rsidRDefault="003A03C0">
      <w:pPr>
        <w:ind w:left="2090" w:hanging="720"/>
      </w:pPr>
      <w:r>
        <w:t>Marks, H.M. 2000. Student engagement in instructional activity: Patterns in the elementary, middle an</w:t>
      </w:r>
      <w:r>
        <w:t>d high school years. American Educational Research Journal 37 (1): 153–84.</w:t>
      </w:r>
    </w:p>
    <w:p w:rsidR="00502CA1" w:rsidRDefault="003A03C0">
      <w:pPr>
        <w:spacing w:after="236" w:line="259" w:lineRule="auto"/>
        <w:ind w:left="1380"/>
      </w:pPr>
      <w:r>
        <w:t xml:space="preserve">McDermott, P.A., M. </w:t>
      </w:r>
      <w:proofErr w:type="spellStart"/>
      <w:r>
        <w:t>Mordell</w:t>
      </w:r>
      <w:proofErr w:type="spellEnd"/>
      <w:r>
        <w:t xml:space="preserve">, &amp; J.C. </w:t>
      </w:r>
      <w:proofErr w:type="spellStart"/>
      <w:r>
        <w:t>Stolzfus</w:t>
      </w:r>
      <w:proofErr w:type="spellEnd"/>
      <w:r>
        <w:t>. 2001. The organization of student performance in</w:t>
      </w:r>
    </w:p>
    <w:p w:rsidR="00502CA1" w:rsidRDefault="003A03C0">
      <w:pPr>
        <w:spacing w:after="236" w:line="259" w:lineRule="auto"/>
        <w:ind w:left="2115"/>
      </w:pPr>
      <w:r>
        <w:t>American schools: Discipline, motivation, verbal and non-verbal learning. Journal of E</w:t>
      </w:r>
      <w:r>
        <w:t xml:space="preserve">ducational Psychology 93 (1): 65–76. </w:t>
      </w:r>
    </w:p>
    <w:p w:rsidR="00502CA1" w:rsidRDefault="003A03C0">
      <w:pPr>
        <w:ind w:left="2090" w:hanging="720"/>
      </w:pPr>
      <w:r>
        <w:t xml:space="preserve">Roderick, M., &amp; M. Engle. 2001. The grasshopper and the ant: Motivational responses of </w:t>
      </w:r>
      <w:proofErr w:type="spellStart"/>
      <w:r>
        <w:t>lowachieving</w:t>
      </w:r>
      <w:proofErr w:type="spellEnd"/>
      <w:r>
        <w:t xml:space="preserve"> students to high-stakes testing. Educational Evaluation Policy Analysis 23 (3): </w:t>
      </w:r>
    </w:p>
    <w:p w:rsidR="00502CA1" w:rsidRDefault="003A03C0">
      <w:pPr>
        <w:spacing w:after="236" w:line="259" w:lineRule="auto"/>
        <w:ind w:left="2115"/>
      </w:pPr>
      <w:r>
        <w:t xml:space="preserve">197–227. </w:t>
      </w:r>
    </w:p>
    <w:p w:rsidR="00502CA1" w:rsidRDefault="003A03C0">
      <w:pPr>
        <w:ind w:left="2090" w:hanging="720"/>
      </w:pPr>
      <w:r>
        <w:lastRenderedPageBreak/>
        <w:t>Rossi, R., &amp;</w:t>
      </w:r>
      <w:r>
        <w:t xml:space="preserve"> A. Montgomery. 1994. Education reforms and students at risk: A review of the current state of the art. Washington, DC: U.S. Department of Education.</w:t>
      </w:r>
    </w:p>
    <w:p w:rsidR="00502CA1" w:rsidRDefault="003A03C0">
      <w:pPr>
        <w:ind w:left="2090" w:hanging="720"/>
      </w:pPr>
      <w:r>
        <w:t xml:space="preserve"> </w:t>
      </w:r>
      <w:proofErr w:type="spellStart"/>
      <w:r>
        <w:t>Schlechty</w:t>
      </w:r>
      <w:proofErr w:type="spellEnd"/>
      <w:r>
        <w:t>, P. 2001. Shaking up the school house: How to support and sustain educational innovation: San F</w:t>
      </w:r>
      <w:r>
        <w:t xml:space="preserve">rancisco: </w:t>
      </w:r>
      <w:proofErr w:type="spellStart"/>
      <w:r>
        <w:t>Jossey</w:t>
      </w:r>
      <w:proofErr w:type="spellEnd"/>
      <w:r>
        <w:t xml:space="preserve">-Bass. </w:t>
      </w:r>
    </w:p>
    <w:p w:rsidR="00502CA1" w:rsidRDefault="003A03C0">
      <w:pPr>
        <w:ind w:left="2090" w:hanging="720"/>
      </w:pPr>
      <w:r>
        <w:t xml:space="preserve">Willingham, W.W., J.M. Pollack, &amp; C. Lewis. 2002. Grades and test scores: Accounting for observed differences. Journal of Educational Measurement 39 (1): 1–37. </w:t>
      </w:r>
    </w:p>
    <w:p w:rsidR="00502CA1" w:rsidRDefault="003A03C0">
      <w:pPr>
        <w:ind w:left="2090" w:hanging="720"/>
      </w:pPr>
      <w:proofErr w:type="spellStart"/>
      <w:r>
        <w:t>Yair</w:t>
      </w:r>
      <w:proofErr w:type="spellEnd"/>
      <w:r>
        <w:t>, G. 2000. Reforming motivation: How the structure of instruction a</w:t>
      </w:r>
      <w:r>
        <w:t>ffects students’ learning experiences. British Educational Journal 26 (2): 191–210.</w:t>
      </w:r>
    </w:p>
    <w:p w:rsidR="00502CA1" w:rsidRDefault="003A03C0">
      <w:pPr>
        <w:ind w:left="1370" w:firstLine="720"/>
      </w:pPr>
      <w:r>
        <w:t>This article does not contain its own research but rather explains the sources research. The authors did research and compiled what they found into one article to provide t</w:t>
      </w:r>
      <w:r>
        <w:t>he main points of many different articles. For example the article states “ ...research shows a significant correlation between high levels of engagement and improved attendance and achievement as measured through direct observations and interviews with an</w:t>
      </w:r>
      <w:r>
        <w:t xml:space="preserve">d questionnaires to children and teachers (Finn &amp; Rock 1997; Marks 2000; Roderick &amp; Engle 2001; Willingham, Pollack, &amp; Lewis 2002)” </w:t>
      </w:r>
      <w:r>
        <w:rPr>
          <w:color w:val="333333"/>
        </w:rPr>
        <w:t>(</w:t>
      </w:r>
      <w:proofErr w:type="spellStart"/>
      <w:r>
        <w:rPr>
          <w:color w:val="333333"/>
        </w:rPr>
        <w:t>Jablon</w:t>
      </w:r>
      <w:proofErr w:type="spellEnd"/>
      <w:r>
        <w:rPr>
          <w:color w:val="333333"/>
        </w:rPr>
        <w:t xml:space="preserve"> &amp; Wilkinson, 2006). No data was used in this article therefore no instruments were used to collect data. </w:t>
      </w:r>
      <w:r>
        <w:t>There are n</w:t>
      </w:r>
      <w:r>
        <w:t xml:space="preserve">o conclusions that can be made from research because there was no research done. </w:t>
      </w:r>
    </w:p>
    <w:p w:rsidR="00502CA1" w:rsidRDefault="003A03C0">
      <w:pPr>
        <w:ind w:left="1370" w:firstLine="720"/>
      </w:pPr>
      <w:r>
        <w:t>This article is reliable because it uses many reliable sources and pulls information from them to give the reader examples and reasons as to the best ways to facilitate child</w:t>
      </w:r>
      <w:r>
        <w:t xml:space="preserve">ren's learning. </w:t>
      </w:r>
    </w:p>
    <w:p w:rsidR="00502CA1" w:rsidRDefault="003A03C0">
      <w:pPr>
        <w:ind w:left="1380"/>
      </w:pPr>
      <w:r>
        <w:t>I would also say that this article is valid, I feel as though I learned many important tips and tricks to use in the classroom to help students learn. It was well written and organized which helped keep me as the reader engaged in the arti</w:t>
      </w:r>
      <w:r>
        <w:t xml:space="preserve">cle. The pictures and different fonts help keep it interesting which is something I could use in the future to keep students engaged. There were no limitations to this article. </w:t>
      </w:r>
    </w:p>
    <w:p w:rsidR="00502CA1" w:rsidRDefault="003A03C0">
      <w:pPr>
        <w:spacing w:after="1656"/>
        <w:ind w:left="1385" w:firstLine="720"/>
      </w:pPr>
      <w:r>
        <w:t>This article coincides with the textbook when talking about engagement. The te</w:t>
      </w:r>
      <w:r>
        <w:t xml:space="preserve">xtbook explains the importance of grabbing </w:t>
      </w:r>
      <w:proofErr w:type="gramStart"/>
      <w:r>
        <w:t>students</w:t>
      </w:r>
      <w:proofErr w:type="gramEnd"/>
      <w:r>
        <w:t xml:space="preserve"> attention whereas the article explains ways in </w:t>
      </w:r>
      <w:r>
        <w:lastRenderedPageBreak/>
        <w:t>which teachers can get their students attention. The textbook states that “</w:t>
      </w:r>
      <w:r>
        <w:rPr>
          <w:color w:val="333333"/>
        </w:rPr>
        <w:t>this includes both selective attention (paying attention to the correct cues and i</w:t>
      </w:r>
      <w:r>
        <w:rPr>
          <w:color w:val="333333"/>
        </w:rPr>
        <w:t xml:space="preserve">nformation) as well as sustained attention (maintaining focus). In teaching, you will have to ensure students’ attention to the critical features of the lesson by making clear presentations and highlighting important points (Woolfolk, 2019). After reading </w:t>
      </w:r>
      <w:r>
        <w:rPr>
          <w:color w:val="333333"/>
        </w:rPr>
        <w:t>this, my thoughts were that I know I would need to gain and hold students attention but how? Then I read the article and it explains different strategies real teachers use! Such as quick games like 20 questions, drama and humor, having students talk to a p</w:t>
      </w:r>
      <w:r>
        <w:rPr>
          <w:color w:val="333333"/>
        </w:rPr>
        <w:t>artner, and ask what they know, wonder and learn (</w:t>
      </w:r>
      <w:proofErr w:type="spellStart"/>
      <w:r>
        <w:rPr>
          <w:color w:val="333333"/>
        </w:rPr>
        <w:t>Jablon</w:t>
      </w:r>
      <w:proofErr w:type="spellEnd"/>
      <w:r>
        <w:rPr>
          <w:color w:val="333333"/>
        </w:rPr>
        <w:t xml:space="preserve"> &amp; Wilkinson, 2006). According to the article “School Engagement Is More Than Just Talk” by Tim Hodges students who are engaged are 2.5 times more likely to say they do well in school and get good gra</w:t>
      </w:r>
      <w:r>
        <w:rPr>
          <w:color w:val="333333"/>
        </w:rPr>
        <w:t xml:space="preserve">des, they are also 4.5 times more likely to be hopeful about the future (Hodges, 2018). This shows just how important engagement for students really is. </w:t>
      </w:r>
    </w:p>
    <w:p w:rsidR="00502CA1" w:rsidRDefault="003A03C0">
      <w:pPr>
        <w:spacing w:line="259" w:lineRule="auto"/>
        <w:ind w:left="1380"/>
      </w:pPr>
      <w:r>
        <w:t>Citations:</w:t>
      </w:r>
    </w:p>
    <w:p w:rsidR="00502CA1" w:rsidRDefault="003A03C0">
      <w:pPr>
        <w:spacing w:after="236" w:line="259" w:lineRule="auto"/>
        <w:ind w:left="1380"/>
      </w:pPr>
      <w:r>
        <w:t xml:space="preserve">Hodges, T. (2018, October 25). </w:t>
      </w:r>
      <w:r>
        <w:rPr>
          <w:i/>
        </w:rPr>
        <w:t>School Engagement Is More Than Just Talk</w:t>
      </w:r>
      <w:r>
        <w:t xml:space="preserve">. Gallup. </w:t>
      </w:r>
    </w:p>
    <w:p w:rsidR="00502CA1" w:rsidRDefault="003A03C0">
      <w:pPr>
        <w:spacing w:after="0"/>
        <w:ind w:left="2100"/>
      </w:pPr>
      <w:r>
        <w:rPr>
          <w:color w:val="000080"/>
          <w:u w:val="single" w:color="000080"/>
        </w:rPr>
        <w:t>https://w</w:t>
      </w:r>
      <w:r>
        <w:rPr>
          <w:color w:val="000080"/>
          <w:u w:val="single" w:color="000080"/>
        </w:rPr>
        <w:t>ww.gallup.com/education/244022/school-engagementtalk.aspx#:~:text=Engaged%20students%20are%202.5%20times,wide%20range%20of</w:t>
      </w:r>
    </w:p>
    <w:p w:rsidR="00502CA1" w:rsidRDefault="003A03C0">
      <w:pPr>
        <w:spacing w:after="236" w:line="259" w:lineRule="auto"/>
        <w:ind w:left="2100"/>
      </w:pPr>
      <w:r>
        <w:rPr>
          <w:color w:val="000080"/>
          <w:u w:val="single" w:color="000080"/>
        </w:rPr>
        <w:t>%20workplace%20outcomes</w:t>
      </w:r>
    </w:p>
    <w:p w:rsidR="00502CA1" w:rsidRDefault="003A03C0">
      <w:pPr>
        <w:spacing w:after="236" w:line="259" w:lineRule="auto"/>
        <w:ind w:left="1380"/>
      </w:pPr>
      <w:proofErr w:type="spellStart"/>
      <w:r>
        <w:t>Jablon</w:t>
      </w:r>
      <w:proofErr w:type="spellEnd"/>
      <w:r>
        <w:t xml:space="preserve">, J. R., &amp; Wilkinson, M. (2006, March). </w:t>
      </w:r>
      <w:r>
        <w:rPr>
          <w:i/>
        </w:rPr>
        <w:t xml:space="preserve">Using Engagement Strategies to Facilitate </w:t>
      </w:r>
    </w:p>
    <w:p w:rsidR="00502CA1" w:rsidRDefault="003A03C0">
      <w:pPr>
        <w:spacing w:after="236" w:line="259" w:lineRule="auto"/>
        <w:ind w:left="2105" w:firstLine="0"/>
      </w:pPr>
      <w:r>
        <w:rPr>
          <w:i/>
        </w:rPr>
        <w:t xml:space="preserve">Children’s Learning </w:t>
      </w:r>
      <w:r>
        <w:rPr>
          <w:i/>
        </w:rPr>
        <w:t>and Success</w:t>
      </w:r>
      <w:r>
        <w:t xml:space="preserve">. </w:t>
      </w:r>
      <w:proofErr w:type="spellStart"/>
      <w:r>
        <w:t>Wayback</w:t>
      </w:r>
      <w:proofErr w:type="spellEnd"/>
      <w:r>
        <w:t xml:space="preserve"> Machine. </w:t>
      </w:r>
    </w:p>
    <w:p w:rsidR="00502CA1" w:rsidRDefault="003A03C0">
      <w:pPr>
        <w:spacing w:after="236" w:line="259" w:lineRule="auto"/>
        <w:ind w:left="2100"/>
      </w:pPr>
      <w:r>
        <w:rPr>
          <w:color w:val="000080"/>
          <w:u w:val="single" w:color="000080"/>
        </w:rPr>
        <w:t>https://web.archive.org/web/20170215145319/https://www.naeyc.org/files/yc/file/20060</w:t>
      </w:r>
    </w:p>
    <w:p w:rsidR="00502CA1" w:rsidRDefault="003A03C0">
      <w:pPr>
        <w:spacing w:after="236" w:line="259" w:lineRule="auto"/>
        <w:ind w:left="2100"/>
      </w:pPr>
      <w:r>
        <w:rPr>
          <w:color w:val="000080"/>
          <w:u w:val="single" w:color="000080"/>
        </w:rPr>
        <w:t>3/JablonBTJ.pdf</w:t>
      </w:r>
    </w:p>
    <w:p w:rsidR="00502CA1" w:rsidRDefault="003A03C0" w:rsidP="00616E32">
      <w:pPr>
        <w:spacing w:after="9226"/>
        <w:ind w:left="1380"/>
      </w:pPr>
      <w:r>
        <w:t xml:space="preserve">Woolfolk A. (2019). </w:t>
      </w:r>
      <w:r>
        <w:rPr>
          <w:i/>
        </w:rPr>
        <w:t>Educational Psychology</w:t>
      </w:r>
      <w:r>
        <w:t xml:space="preserve"> (14th </w:t>
      </w:r>
      <w:proofErr w:type="gramStart"/>
      <w:r>
        <w:t>ed</w:t>
      </w:r>
      <w:proofErr w:type="gramEnd"/>
      <w:r>
        <w:t>.). NY, NY: Pearson.</w:t>
      </w:r>
    </w:p>
    <w:sectPr w:rsidR="00502CA1">
      <w:footerReference w:type="even" r:id="rId6"/>
      <w:footerReference w:type="default" r:id="rId7"/>
      <w:footerReference w:type="first" r:id="rId8"/>
      <w:pgSz w:w="12240" w:h="15840"/>
      <w:pgMar w:top="387" w:right="1461"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03C0" w:rsidRDefault="003A03C0">
      <w:pPr>
        <w:spacing w:after="0" w:line="240" w:lineRule="auto"/>
      </w:pPr>
      <w:r>
        <w:separator/>
      </w:r>
    </w:p>
  </w:endnote>
  <w:endnote w:type="continuationSeparator" w:id="0">
    <w:p w:rsidR="003A03C0" w:rsidRDefault="003A03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2CA1" w:rsidRDefault="003A03C0">
    <w:pPr>
      <w:spacing w:after="367" w:line="259" w:lineRule="auto"/>
      <w:ind w:left="567" w:firstLine="0"/>
    </w:pPr>
    <w:r>
      <w:rPr>
        <w:rFonts w:ascii="Times New Roman" w:eastAsia="Times New Roman" w:hAnsi="Times New Roman" w:cs="Times New Roman"/>
        <w:sz w:val="16"/>
      </w:rPr>
      <w:t>This study source was downloaded by 100000846643214 from CourseHero.com on 08-30-2022 04:32:29 GMT -05:00</w:t>
    </w:r>
  </w:p>
  <w:p w:rsidR="00502CA1" w:rsidRDefault="003A03C0">
    <w:pPr>
      <w:spacing w:after="0" w:line="259" w:lineRule="auto"/>
      <w:ind w:left="567" w:firstLine="0"/>
    </w:pPr>
    <w:r>
      <w:rPr>
        <w:rFonts w:ascii="Times New Roman" w:eastAsia="Times New Roman" w:hAnsi="Times New Roman" w:cs="Times New Roman"/>
        <w:sz w:val="16"/>
      </w:rPr>
      <w:t>https://www.coursehero.com/file/104931574/Artic</w:t>
    </w:r>
    <w:r>
      <w:rPr>
        <w:rFonts w:ascii="Times New Roman" w:eastAsia="Times New Roman" w:hAnsi="Times New Roman" w:cs="Times New Roman"/>
        <w:sz w:val="16"/>
      </w:rPr>
      <w:t>le-Critique-5/</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2CA1" w:rsidRDefault="00502CA1">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2CA1" w:rsidRDefault="003A03C0">
    <w:pPr>
      <w:spacing w:after="367" w:line="259" w:lineRule="auto"/>
      <w:ind w:left="567" w:firstLine="0"/>
    </w:pPr>
    <w:r>
      <w:rPr>
        <w:rFonts w:ascii="Times New Roman" w:eastAsia="Times New Roman" w:hAnsi="Times New Roman" w:cs="Times New Roman"/>
        <w:sz w:val="16"/>
      </w:rPr>
      <w:t>This study source was downloaded by 100000846643214 from CourseHero.com o</w:t>
    </w:r>
    <w:r>
      <w:rPr>
        <w:rFonts w:ascii="Times New Roman" w:eastAsia="Times New Roman" w:hAnsi="Times New Roman" w:cs="Times New Roman"/>
        <w:sz w:val="16"/>
      </w:rPr>
      <w:t>n 08-30-2022 04:32:29 GMT -05:00</w:t>
    </w:r>
  </w:p>
  <w:p w:rsidR="00502CA1" w:rsidRDefault="003A03C0">
    <w:pPr>
      <w:spacing w:after="0" w:line="259" w:lineRule="auto"/>
      <w:ind w:left="567" w:firstLine="0"/>
    </w:pPr>
    <w:r>
      <w:rPr>
        <w:rFonts w:ascii="Times New Roman" w:eastAsia="Times New Roman" w:hAnsi="Times New Roman" w:cs="Times New Roman"/>
        <w:sz w:val="16"/>
      </w:rPr>
      <w:t>https://www.coursehero.com/file/104931574/Article-Critique-5/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03C0" w:rsidRDefault="003A03C0">
      <w:pPr>
        <w:spacing w:after="0" w:line="240" w:lineRule="auto"/>
      </w:pPr>
      <w:r>
        <w:separator/>
      </w:r>
    </w:p>
  </w:footnote>
  <w:footnote w:type="continuationSeparator" w:id="0">
    <w:p w:rsidR="003A03C0" w:rsidRDefault="003A03C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2CA1"/>
    <w:rsid w:val="003A03C0"/>
    <w:rsid w:val="00502CA1"/>
    <w:rsid w:val="00616E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4D18B3E-7548-409B-854A-3FF63F17B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418"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870</Words>
  <Characters>4961</Characters>
  <Application>Microsoft Office Word</Application>
  <DocSecurity>0</DocSecurity>
  <Lines>41</Lines>
  <Paragraphs>11</Paragraphs>
  <ScaleCrop>false</ScaleCrop>
  <Company/>
  <LinksUpToDate>false</LinksUpToDate>
  <CharactersWithSpaces>5820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100000790168541,CHDL-UGC-Meta</cp:keywords>
  <cp:lastModifiedBy>Microsoft account</cp:lastModifiedBy>
  <cp:revision>2</cp:revision>
  <dcterms:created xsi:type="dcterms:W3CDTF">2022-08-30T09:34:00Z</dcterms:created>
  <dcterms:modified xsi:type="dcterms:W3CDTF">2022-08-30T09:34:00Z</dcterms:modified>
</cp:coreProperties>
</file>