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0E1A" w:rsidRDefault="00267587">
      <w:pPr>
        <w:spacing w:after="806" w:line="259" w:lineRule="auto"/>
        <w:ind w:left="510" w:right="-873" w:firstLine="0"/>
        <w:jc w:val="left"/>
      </w:pPr>
      <w:r>
        <w:rPr>
          <w:rFonts w:ascii="Arial" w:eastAsia="Arial" w:hAnsi="Arial" w:cs="Arial"/>
        </w:rPr>
        <w:t xml:space="preserve"> </w:t>
      </w:r>
    </w:p>
    <w:p w:rsidR="00C40E1A" w:rsidRPr="006917E7" w:rsidRDefault="00267587">
      <w:pPr>
        <w:pStyle w:val="Heading1"/>
        <w:ind w:left="1380"/>
        <w:rPr>
          <w:i w:val="0"/>
        </w:rPr>
      </w:pPr>
      <w:r w:rsidRPr="006917E7">
        <w:rPr>
          <w:i w:val="0"/>
        </w:rPr>
        <w:t>Introduct</w:t>
      </w:r>
      <w:r w:rsidRPr="006917E7">
        <w:rPr>
          <w:i w:val="0"/>
        </w:rPr>
        <w:t>ion</w:t>
      </w:r>
    </w:p>
    <w:p w:rsidR="00C40E1A" w:rsidRDefault="00267587">
      <w:pPr>
        <w:ind w:left="1380" w:right="1"/>
      </w:pPr>
      <w:r>
        <w:t>The purpose of this report is to assess the implications of a potential partnership with the International Federation of Football Association (FIFA). FIFA’s avid history of corruption has led to some damage to the organization’s brand, and the recent c</w:t>
      </w:r>
      <w:r>
        <w:t>orruption scandals have not helped restore much co</w:t>
      </w:r>
      <w:bookmarkStart w:id="0" w:name="_GoBack"/>
      <w:bookmarkEnd w:id="0"/>
      <w:r>
        <w:t>nfidence to the public. As Feel Good Foods is a growing company looking to increase its brand awareness, it is imperative to make sure that any potential partnerships are reviewed carefully in order to main</w:t>
      </w:r>
      <w:r>
        <w:t xml:space="preserve">tain the integrity and reputation of Feel Good Foods. </w:t>
      </w:r>
    </w:p>
    <w:p w:rsidR="00C40E1A" w:rsidRDefault="00267587">
      <w:pPr>
        <w:ind w:left="1380" w:right="1"/>
      </w:pPr>
      <w:r>
        <w:t>However, much of FIFA’s sponsorship history has been extremely positive, and past sponsors have often renewed their sponsorships due to the success of the partnership with FIFA. Although avoiding any f</w:t>
      </w:r>
      <w:r>
        <w:t>orm of negative publicity will be key to protecting the company’s brand reputation, risks must sometimes be taken in order to take the company to the next level. The FIFA Women’s World Cup has seen tremendous growth in popularity over the years, and the mo</w:t>
      </w:r>
      <w:r>
        <w:t>st recent FIFA Women’s World Cup in 2011 showed that 31% of the game’s coverage came from Canada, the highest in North America. Also, Canadian viewership of the FIFA Women’s World Cup has increased by a whopping 700% since the 2007 FIFA Women’s World Cup i</w:t>
      </w:r>
      <w:r>
        <w:t xml:space="preserve">n China, the highest increase amongst all countries. </w:t>
      </w:r>
    </w:p>
    <w:p w:rsidR="00C40E1A" w:rsidRDefault="00267587">
      <w:pPr>
        <w:spacing w:after="83"/>
        <w:ind w:left="1380" w:right="1"/>
      </w:pPr>
      <w:r>
        <w:t>The report will go through the following sections:</w:t>
      </w:r>
    </w:p>
    <w:p w:rsidR="00C40E1A" w:rsidRDefault="00267587">
      <w:pPr>
        <w:numPr>
          <w:ilvl w:val="0"/>
          <w:numId w:val="1"/>
        </w:numPr>
        <w:spacing w:after="78"/>
        <w:ind w:right="1" w:hanging="360"/>
      </w:pPr>
      <w:r>
        <w:t xml:space="preserve">First, a short investigation of FIFA’s credibility will be made, putting emphasis on the recent negative publicity that has enshrouded FIFA. </w:t>
      </w:r>
    </w:p>
    <w:p w:rsidR="00C40E1A" w:rsidRDefault="00267587">
      <w:pPr>
        <w:numPr>
          <w:ilvl w:val="0"/>
          <w:numId w:val="1"/>
        </w:numPr>
        <w:spacing w:after="78"/>
        <w:ind w:right="1" w:hanging="360"/>
      </w:pPr>
      <w:r>
        <w:t>The secon</w:t>
      </w:r>
      <w:r>
        <w:t xml:space="preserve">d section will be a study of the growth of the FIFA Women’s World Cup in Canada, in terms of viewership and composition of audiences. </w:t>
      </w:r>
    </w:p>
    <w:p w:rsidR="00C40E1A" w:rsidRDefault="00267587">
      <w:pPr>
        <w:numPr>
          <w:ilvl w:val="0"/>
          <w:numId w:val="1"/>
        </w:numPr>
        <w:spacing w:after="80"/>
        <w:ind w:right="1" w:hanging="360"/>
      </w:pPr>
      <w:r>
        <w:t>The third section will then discuss the marketing and financial consideration of the partnership. This section will also include the potential cost and benefits of the partnership.</w:t>
      </w:r>
    </w:p>
    <w:p w:rsidR="00C40E1A" w:rsidRDefault="00267587">
      <w:pPr>
        <w:numPr>
          <w:ilvl w:val="0"/>
          <w:numId w:val="1"/>
        </w:numPr>
        <w:ind w:right="1" w:hanging="360"/>
      </w:pPr>
      <w:r>
        <w:t>The fourth and final section will be a conclusion stating the outcome of th</w:t>
      </w:r>
      <w:r>
        <w:t xml:space="preserve">e decision based on the previous sections. </w:t>
      </w:r>
    </w:p>
    <w:p w:rsidR="00C40E1A" w:rsidRDefault="00267587">
      <w:pPr>
        <w:pStyle w:val="Heading2"/>
        <w:ind w:left="1380"/>
      </w:pPr>
      <w:r>
        <w:t>1. Background of FIFA’s allegations</w:t>
      </w:r>
    </w:p>
    <w:p w:rsidR="00C40E1A" w:rsidRDefault="00267587">
      <w:pPr>
        <w:ind w:left="1380" w:right="1"/>
      </w:pPr>
      <w:r>
        <w:t>Over the years, FIFA has gained a strong reputation for lack of transparency, which has led most of the public to question the integrity of FIFA’s dealings, from match fixing t</w:t>
      </w:r>
      <w:r>
        <w:t>o large bribes from government officials of various countries. The allegations against FIFA center around their decision to award hosting rights of the 2018 and 2022 World Cups to Qatar and Russia, respectively. Allegations of corruption on the part of FIF</w:t>
      </w:r>
      <w:r>
        <w:t>A for accepting bribes from both countries are rampant, particularly with Qatar. Due to Qatar’s extremely unsuitable weather, - a hot day could reach up to 45 degrees Celsius- the decision to award them with the rights to host a football event caused a lot</w:t>
      </w:r>
      <w:r>
        <w:t xml:space="preserve"> of controversy. According to FIFA, an internal investigation into the bidding process on November 13</w:t>
      </w:r>
      <w:r>
        <w:rPr>
          <w:sz w:val="22"/>
          <w:vertAlign w:val="superscript"/>
        </w:rPr>
        <w:t>th</w:t>
      </w:r>
      <w:r>
        <w:t xml:space="preserve"> 2014 did not point out any wrongdoing in the part of the host countries</w:t>
      </w:r>
      <w:r>
        <w:rPr>
          <w:rFonts w:ascii="Calibri" w:eastAsia="Calibri" w:hAnsi="Calibri" w:cs="Calibri"/>
          <w:sz w:val="22"/>
          <w:vertAlign w:val="superscript"/>
        </w:rPr>
        <w:t>1</w:t>
      </w:r>
      <w:r>
        <w:t xml:space="preserve">. Michael Garcia-an American lawyer-who sent his findings over to FIFA’s ethics </w:t>
      </w:r>
      <w:r>
        <w:t xml:space="preserve">committee in September 2014 led the investigation into the bidding process. However, a couple of days later a report was to be sent to Swiss authorities due to the uncovering of some criminal activities. </w:t>
      </w:r>
    </w:p>
    <w:p w:rsidR="00C40E1A" w:rsidRDefault="00267587">
      <w:pPr>
        <w:spacing w:after="1272"/>
        <w:ind w:left="1380" w:right="1"/>
      </w:pPr>
      <w:r>
        <w:lastRenderedPageBreak/>
        <w:t>However, it is important to note the improvements t</w:t>
      </w:r>
      <w:r>
        <w:t>hat have been made by FIFA following the bad publicity. In 2011, FIFA President Sepp Blatter launched an extensive governance reform process during the 61</w:t>
      </w:r>
      <w:r>
        <w:rPr>
          <w:sz w:val="22"/>
          <w:vertAlign w:val="superscript"/>
        </w:rPr>
        <w:t>st</w:t>
      </w:r>
      <w:r>
        <w:t xml:space="preserve"> FIFA congress in Zurich. All stages of the outline were stated clearly and were put in place by exp</w:t>
      </w:r>
      <w:r>
        <w:t>erts in the field of anti- corruption and corporate governance. An Independent Governance Committee was also launched to make amendments to the FIFA Statutes that covers governance, ethics and compliance. Additionally, in 2010 FIFA mandated a Transfer Matc</w:t>
      </w:r>
      <w:r>
        <w:t xml:space="preserve">hing System that aims to improve the organization’s transparency by requiring all of FIFA’s transactions to be done online instead of a paper and phone-based system. These efforts show that FIFA has been making an effort to improve its brand image. </w:t>
      </w:r>
    </w:p>
    <w:p w:rsidR="00C40E1A" w:rsidRDefault="00267587">
      <w:pPr>
        <w:pStyle w:val="Heading2"/>
        <w:ind w:left="1380"/>
      </w:pPr>
      <w:r>
        <w:t>2. FIF</w:t>
      </w:r>
      <w:r>
        <w:t>A Women’s World Cup Coverage</w:t>
      </w:r>
    </w:p>
    <w:p w:rsidR="00C40E1A" w:rsidRDefault="00267587">
      <w:pPr>
        <w:pStyle w:val="Heading3"/>
        <w:ind w:left="1380"/>
      </w:pPr>
      <w:r>
        <w:t>2.1 Audience Reach</w:t>
      </w:r>
    </w:p>
    <w:p w:rsidR="00C40E1A" w:rsidRDefault="00267587">
      <w:pPr>
        <w:spacing w:after="3"/>
        <w:ind w:left="1380" w:right="1"/>
      </w:pPr>
      <w:r>
        <w:t xml:space="preserve">In order to fairly assess the impact of such a partnership, it is important to look objectively at FIFA’s viewer figures, coverage and past sponsorship deals. Big companies such as Coca Cola, Adidas and Visa </w:t>
      </w:r>
      <w:r>
        <w:t>have partnered with FIFA for many years, and have become synonymous with their partnership to FIFA, particularly with the prestigious World Cup. However, the Women’s World Cup has gained much popularity over the decade, and many viewers have become more fa</w:t>
      </w:r>
      <w:r>
        <w:t xml:space="preserve">miliar with Women’s soccer, particularly in Canada. </w:t>
      </w:r>
    </w:p>
    <w:p w:rsidR="00C40E1A" w:rsidRDefault="00267587">
      <w:pPr>
        <w:spacing w:after="103" w:line="259" w:lineRule="auto"/>
        <w:ind w:left="1383" w:firstLine="0"/>
        <w:jc w:val="left"/>
      </w:pPr>
      <w:r>
        <w:rPr>
          <w:rFonts w:ascii="Calibri" w:eastAsia="Calibri" w:hAnsi="Calibri" w:cs="Calibri"/>
          <w:noProof/>
          <w:sz w:val="22"/>
        </w:rPr>
        <mc:AlternateContent>
          <mc:Choice Requires="wpg">
            <w:drawing>
              <wp:inline distT="0" distB="0" distL="0" distR="0">
                <wp:extent cx="1485900" cy="6350"/>
                <wp:effectExtent l="0" t="0" r="0" b="0"/>
                <wp:docPr id="2207" name="Group 2207"/>
                <wp:cNvGraphicFramePr/>
                <a:graphic xmlns:a="http://schemas.openxmlformats.org/drawingml/2006/main">
                  <a:graphicData uri="http://schemas.microsoft.com/office/word/2010/wordprocessingGroup">
                    <wpg:wgp>
                      <wpg:cNvGrpSpPr/>
                      <wpg:grpSpPr>
                        <a:xfrm>
                          <a:off x="0" y="0"/>
                          <a:ext cx="1485900" cy="6350"/>
                          <a:chOff x="0" y="0"/>
                          <a:chExt cx="1485900" cy="6350"/>
                        </a:xfrm>
                      </wpg:grpSpPr>
                      <wps:wsp>
                        <wps:cNvPr id="3102" name="Shape 3102"/>
                        <wps:cNvSpPr/>
                        <wps:spPr>
                          <a:xfrm>
                            <a:off x="0" y="0"/>
                            <a:ext cx="1485900" cy="9144"/>
                          </a:xfrm>
                          <a:custGeom>
                            <a:avLst/>
                            <a:gdLst/>
                            <a:ahLst/>
                            <a:cxnLst/>
                            <a:rect l="0" t="0" r="0" b="0"/>
                            <a:pathLst>
                              <a:path w="1485900" h="9144">
                                <a:moveTo>
                                  <a:pt x="0" y="0"/>
                                </a:moveTo>
                                <a:lnTo>
                                  <a:pt x="1485900" y="0"/>
                                </a:lnTo>
                                <a:lnTo>
                                  <a:pt x="14859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52BE6EC" id="Group 2207" o:spid="_x0000_s1026" style="width:117pt;height:.5pt;mso-position-horizontal-relative:char;mso-position-vertical-relative:line" coordsize="148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">
                <v:shape id="Shape 3102" o:spid="_x0000_s1027" style="position:absolute;width:14859;height:91;visibility:visible;mso-wrap-style:square;v-text-anchor:top" coordsize="14859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8pA8MA&#10;AADdAAAADwAAAGRycy9kb3ducmV2LnhtbESP3YrCMBCF74V9hzAL3mmqgkjXKOqyIOuN1n2AsRmb&#10;YjMpTbR1n94IgpeH8/Nx5svOVuJGjS8dKxgNExDEudMlFwr+jj+DGQgfkDVWjknBnTwsFx+9Oaba&#10;tXygWxYKEUfYp6jAhFCnUvrckEU/dDVx9M6usRiibAqpG2zjuK3kOEmm0mLJkWCwpo2h/JJdbeSu&#10;zFrb7Hfbflc83e395nr6vyvV/+xWXyACdeEdfrW3WsFklIzh+SY+Ab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8pA8MAAADdAAAADwAAAAAAAAAAAAAAAACYAgAAZHJzL2Rv&#10;d25yZXYueG1sUEsFBgAAAAAEAAQA9QAAAIgDAAAAAA==&#10;" path="m,l1485900,r,9144l,9144,,e" fillcolor="black" stroked="f" strokeweight="0">
                  <v:stroke miterlimit="83231f" joinstyle="miter"/>
                  <v:path arrowok="t" textboxrect="0,0,1485900,9144"/>
                </v:shape>
                <w10:anchorlock/>
              </v:group>
            </w:pict>
          </mc:Fallback>
        </mc:AlternateContent>
      </w:r>
    </w:p>
    <w:p w:rsidR="00C40E1A" w:rsidRDefault="00267587">
      <w:pPr>
        <w:ind w:left="1380" w:right="1"/>
      </w:pPr>
      <w:r>
        <w:t>Based on viewership figures from the Germany Women’s World Cup in 2011 FIFA audience report</w:t>
      </w:r>
      <w:r>
        <w:rPr>
          <w:rFonts w:ascii="Calibri" w:eastAsia="Calibri" w:hAnsi="Calibri" w:cs="Calibri"/>
          <w:sz w:val="22"/>
          <w:vertAlign w:val="superscript"/>
        </w:rPr>
        <w:t>2</w:t>
      </w:r>
      <w:r>
        <w:t>, the broadcast reached 5.8 million people across Canada. This was almost quadruple the audience reach it r</w:t>
      </w:r>
      <w:r>
        <w:t>eceived at the 2007 FIFA Women’s World Cup in China. The CBC average live match audience had an extraordinary increase from 51,000 people in 2007 to 390,000 people in 2011. From the viewership statistics, Canada has experienced a remarkable increase in aud</w:t>
      </w:r>
      <w:r>
        <w:t>iences who watch the FIFA Women’s World Cup. This is a positive sign for Feel Good Foods as they will be able to enjoy the increased exposure of the games throughout Canada by being able to put FIFA’s logo on their products.</w:t>
      </w:r>
    </w:p>
    <w:p w:rsidR="00C40E1A" w:rsidRDefault="00267587">
      <w:pPr>
        <w:pStyle w:val="Heading3"/>
        <w:ind w:left="1380"/>
      </w:pPr>
      <w:r>
        <w:t>2.2 Composition of Audience</w:t>
      </w:r>
    </w:p>
    <w:p w:rsidR="00C40E1A" w:rsidRDefault="00267587">
      <w:pPr>
        <w:ind w:left="1380" w:right="1"/>
      </w:pPr>
      <w:r>
        <w:t xml:space="preserve">In </w:t>
      </w:r>
      <w:r>
        <w:t xml:space="preserve">terms of gender, the audience of the 2011 FIFA Women’s World Cup in Canada was quite balanced, with 57% of them male and 43% female. This is advantageous for Feel Good Foods, as they will be able to appeal to both male and female consumers. </w:t>
      </w:r>
    </w:p>
    <w:p w:rsidR="00C40E1A" w:rsidRDefault="00267587">
      <w:pPr>
        <w:spacing w:after="4"/>
        <w:ind w:left="1380" w:right="1"/>
      </w:pPr>
      <w:r>
        <w:t>The consumer t</w:t>
      </w:r>
      <w:r>
        <w:t xml:space="preserve">arget for the TEAM5 energy bar is a health- conscious and active individual who is looking for a vegan-friendly energy bar. The age group for the market could extend from teenagers to adults, encompassing a wide range of ages. The age group profile of the </w:t>
      </w:r>
      <w:r>
        <w:t>2011 FIFA Women’s World Cup shows that the majority of the audience was aged 65+, with the rest of the ages similarly distributed. Although the 65+ age bracket is not TEAM5’s main target market, the equal distribution of the other age brackets show that al</w:t>
      </w:r>
      <w:r>
        <w:t>l ages watch and support the games. This could be an advantage for Feel Good Foods, as it does not limit the TEAM5 product to a specific age group.</w:t>
      </w:r>
    </w:p>
    <w:p w:rsidR="00C40E1A" w:rsidRDefault="00267587">
      <w:pPr>
        <w:spacing w:after="16" w:line="259" w:lineRule="auto"/>
        <w:ind w:left="1385" w:firstLine="0"/>
        <w:jc w:val="left"/>
      </w:pPr>
      <w:r>
        <w:lastRenderedPageBreak/>
        <w:t xml:space="preserve"> </w:t>
      </w:r>
    </w:p>
    <w:p w:rsidR="00C40E1A" w:rsidRDefault="00267587">
      <w:pPr>
        <w:ind w:left="1380" w:right="1"/>
      </w:pPr>
      <w:r>
        <w:t>As the TEAM5 energy bar is a premium energy bar that uses premium vegan ingredients, its cost is slightly higher than most conventional energy bars on the market. The Socio- economic status profile of the 2011 FIFA Women’s World Cup shows that the middle c</w:t>
      </w:r>
      <w:r>
        <w:t xml:space="preserve">lass are the predominant audience, followed by the lower class and upper class. Again, this could be advantageous for Feel Good Foods, as it could provide them with a broad market by targeting the larger middle and lower class consumer base. </w:t>
      </w:r>
    </w:p>
    <w:p w:rsidR="00C40E1A" w:rsidRDefault="00267587">
      <w:pPr>
        <w:pStyle w:val="Heading2"/>
        <w:ind w:left="1380"/>
      </w:pPr>
      <w:r>
        <w:t xml:space="preserve">3. Marketing </w:t>
      </w:r>
      <w:r>
        <w:t xml:space="preserve">and Financial Projection </w:t>
      </w:r>
    </w:p>
    <w:p w:rsidR="00C40E1A" w:rsidRDefault="00267587">
      <w:pPr>
        <w:pStyle w:val="Heading3"/>
        <w:ind w:left="1380"/>
      </w:pPr>
      <w:r>
        <w:t>3.1 Financial Consideration</w:t>
      </w:r>
    </w:p>
    <w:p w:rsidR="00C40E1A" w:rsidRDefault="00267587">
      <w:pPr>
        <w:spacing w:after="3"/>
        <w:ind w:left="1380" w:right="1"/>
      </w:pPr>
      <w:r>
        <w:t>Although it is often difficult to quantify the financial return of a sponsorship, the target return should generally be the cost of the sponsorship itself. The cost of the sponsorship deal is $75,000, a</w:t>
      </w:r>
      <w:r>
        <w:t>nd Feel Good Foods should expect a return of at least that amount or more as their</w:t>
      </w:r>
    </w:p>
    <w:p w:rsidR="00C40E1A" w:rsidRDefault="00267587">
      <w:pPr>
        <w:spacing w:after="0"/>
        <w:ind w:left="1380" w:right="1"/>
      </w:pPr>
      <w:r>
        <w:t>Return on Investment (ROI). That amount will be received mostly through increased sales</w:t>
      </w:r>
    </w:p>
    <w:p w:rsidR="00C40E1A" w:rsidRDefault="00267587">
      <w:pPr>
        <w:spacing w:after="103" w:line="259" w:lineRule="auto"/>
        <w:ind w:left="1383" w:firstLine="0"/>
        <w:jc w:val="left"/>
      </w:pPr>
      <w:r>
        <w:rPr>
          <w:rFonts w:ascii="Calibri" w:eastAsia="Calibri" w:hAnsi="Calibri" w:cs="Calibri"/>
          <w:noProof/>
          <w:sz w:val="22"/>
        </w:rPr>
        <mc:AlternateContent>
          <mc:Choice Requires="wpg">
            <w:drawing>
              <wp:inline distT="0" distB="0" distL="0" distR="0">
                <wp:extent cx="1485900" cy="6350"/>
                <wp:effectExtent l="0" t="0" r="0" b="0"/>
                <wp:docPr id="2509" name="Group 2509"/>
                <wp:cNvGraphicFramePr/>
                <a:graphic xmlns:a="http://schemas.openxmlformats.org/drawingml/2006/main">
                  <a:graphicData uri="http://schemas.microsoft.com/office/word/2010/wordprocessingGroup">
                    <wpg:wgp>
                      <wpg:cNvGrpSpPr/>
                      <wpg:grpSpPr>
                        <a:xfrm>
                          <a:off x="0" y="0"/>
                          <a:ext cx="1485900" cy="6350"/>
                          <a:chOff x="0" y="0"/>
                          <a:chExt cx="1485900" cy="6350"/>
                        </a:xfrm>
                      </wpg:grpSpPr>
                      <wps:wsp>
                        <wps:cNvPr id="3103" name="Shape 3103"/>
                        <wps:cNvSpPr/>
                        <wps:spPr>
                          <a:xfrm>
                            <a:off x="0" y="0"/>
                            <a:ext cx="1485900" cy="9144"/>
                          </a:xfrm>
                          <a:custGeom>
                            <a:avLst/>
                            <a:gdLst/>
                            <a:ahLst/>
                            <a:cxnLst/>
                            <a:rect l="0" t="0" r="0" b="0"/>
                            <a:pathLst>
                              <a:path w="1485900" h="9144">
                                <a:moveTo>
                                  <a:pt x="0" y="0"/>
                                </a:moveTo>
                                <a:lnTo>
                                  <a:pt x="1485900" y="0"/>
                                </a:lnTo>
                                <a:lnTo>
                                  <a:pt x="14859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532DC94" id="Group 2509" o:spid="_x0000_s1026" style="width:117pt;height:.5pt;mso-position-horizontal-relative:char;mso-position-vertical-relative:line" coordsize="148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">
                <v:shape id="Shape 3103" o:spid="_x0000_s1027" style="position:absolute;width:14859;height:91;visibility:visible;mso-wrap-style:square;v-text-anchor:top" coordsize="14859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OMmMMA&#10;AADdAAAADwAAAGRycy9kb3ducmV2LnhtbESP3YrCMBCF7xd8hzDC3q2pCrJUo/jDgqw3bvUBxmZs&#10;is2kNNHWfXojCF4ezs/HmS06W4kbNb50rGA4SEAQ506XXCg4Hn6+vkH4gKyxckwK7uRhMe99zDDV&#10;ruU/umWhEHGEfYoKTAh1KqXPDVn0A1cTR+/sGoshyqaQusE2jttKjpJkIi2WHAkGa1obyi/Z1Ubu&#10;0qy0zX637abiyW7v19fT/12pz363nIII1IV3+NXeagXjYTKG55v4BO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oOMmMMAAADdAAAADwAAAAAAAAAAAAAAAACYAgAAZHJzL2Rv&#10;d25yZXYueG1sUEsFBgAAAAAEAAQA9QAAAIgDAAAAAA==&#10;" path="m,l1485900,r,9144l,9144,,e" fillcolor="black" stroked="f" strokeweight="0">
                  <v:stroke miterlimit="83231f" joinstyle="miter"/>
                  <v:path arrowok="t" textboxrect="0,0,1485900,9144"/>
                </v:shape>
                <w10:anchorlock/>
              </v:group>
            </w:pict>
          </mc:Fallback>
        </mc:AlternateContent>
      </w:r>
    </w:p>
    <w:p w:rsidR="00C40E1A" w:rsidRDefault="00267587">
      <w:pPr>
        <w:spacing w:after="159" w:line="259" w:lineRule="auto"/>
        <w:ind w:left="1380"/>
        <w:jc w:val="left"/>
      </w:pPr>
      <w:r>
        <w:rPr>
          <w:sz w:val="18"/>
        </w:rPr>
        <w:t>2</w:t>
      </w:r>
    </w:p>
    <w:p w:rsidR="00C40E1A" w:rsidRDefault="00267587">
      <w:pPr>
        <w:ind w:left="1380" w:right="1"/>
      </w:pPr>
      <w:proofErr w:type="gramStart"/>
      <w:r>
        <w:t>calculated</w:t>
      </w:r>
      <w:proofErr w:type="gramEnd"/>
      <w:r>
        <w:t xml:space="preserve"> after the implementation of the FIFA logo on the TEAM5 energy bars throughout the duration of the sponsorship. However, the expected return amount could also come from difference sources such as added PR value from the sponsorship. But given Fee</w:t>
      </w:r>
      <w:r>
        <w:t xml:space="preserve">l Good Foods’ local distribution to British Columbia only, it might be difficult for them to achieve the desired ROI in the short run. </w:t>
      </w:r>
    </w:p>
    <w:p w:rsidR="00C40E1A" w:rsidRDefault="00267587">
      <w:pPr>
        <w:pStyle w:val="Heading3"/>
        <w:ind w:left="1380"/>
      </w:pPr>
      <w:r>
        <w:t>3.2 Marketing Consideration</w:t>
      </w:r>
    </w:p>
    <w:p w:rsidR="00C40E1A" w:rsidRDefault="00267587">
      <w:pPr>
        <w:ind w:left="1380" w:right="1"/>
      </w:pPr>
      <w:r>
        <w:t>In order to fully consider the marketing considerations, Feel Good Foods’ marketing objectiv</w:t>
      </w:r>
      <w:r>
        <w:t>e must first be identified. As Feel Good Foods’ aspiration is to expand throughout the country, brand awareness is the biggest marketing objective for the company. Although it is essential to get as many consumers familiar with the TEAM5 product, it is equ</w:t>
      </w:r>
      <w:r>
        <w:t>ally as important to target the right demographic as well, in order to maintain their brand image.</w:t>
      </w:r>
    </w:p>
    <w:p w:rsidR="00C40E1A" w:rsidRDefault="00267587">
      <w:pPr>
        <w:spacing w:after="638"/>
        <w:ind w:left="1380" w:right="1"/>
      </w:pPr>
      <w:r>
        <w:t xml:space="preserve">Feel Good Foods’ demographic of young and active individuals are a good fit with FIFA, that targets a similar demographic through their World Cup events. By </w:t>
      </w:r>
      <w:r>
        <w:t>being able to use the FIFA logo on TEAM5 bars, Feel Good Foods will be able to communicate their product to consumers more effectively, as they will be automatically targeting FIFA’s demographics as well. This could provide them with a larger pool of poten</w:t>
      </w:r>
      <w:r>
        <w:t xml:space="preserve">tial consumers, who will be introduced to the product by first recognizing the FIFA logo. However, this could also bring potential negative associations with the product if FIFA receives a lot of bad publicity. </w:t>
      </w:r>
    </w:p>
    <w:p w:rsidR="00C40E1A" w:rsidRDefault="00267587">
      <w:pPr>
        <w:pStyle w:val="Heading3"/>
        <w:ind w:left="1380"/>
      </w:pPr>
      <w:r>
        <w:t>3.3 Ethical Consideration</w:t>
      </w:r>
    </w:p>
    <w:p w:rsidR="00C40E1A" w:rsidRDefault="00267587">
      <w:pPr>
        <w:ind w:left="1755" w:right="1"/>
      </w:pPr>
      <w:r>
        <w:t>A partnership with</w:t>
      </w:r>
      <w:r>
        <w:t xml:space="preserve"> FIFA, in light of recent scandals, could potentially result in the opposite effect – a huge backlash towards Feel Good Food’s for sponsoring a corrupt organization. Given Canada’s strong stance against anti-corruption and anti-transparency (a sentiment ec</w:t>
      </w:r>
      <w:r>
        <w:t xml:space="preserve">hoed amongst its citizens as well) a partnership with FIFA could severely tarnish Feel Good </w:t>
      </w:r>
      <w:r>
        <w:lastRenderedPageBreak/>
        <w:t>Food’s reputation and therefore undermine any further expansion plans. Feel Good Food’s energy bars as well the company itself should adopt strong ethical standards</w:t>
      </w:r>
      <w:r>
        <w:t xml:space="preserve"> early on in order to foster loyalty amongst its customers, even at the expense of a slower expansion rate. </w:t>
      </w:r>
    </w:p>
    <w:p w:rsidR="00C40E1A" w:rsidRDefault="00267587">
      <w:pPr>
        <w:ind w:left="1755" w:right="1"/>
      </w:pPr>
      <w:r>
        <w:t>Therefore, due to potential media backlash, a partnership with FIFA should be considered a high-risk investment. However, not capitalizing on the w</w:t>
      </w:r>
      <w:r>
        <w:t>orld’s premier sporting event (especially when hosted in Canada) would also make little sense from a marketing standpoint.  Thus, the question is how to take advantage of FIFA World Cup’s marketing opportunity without incurring damage towards brand reputat</w:t>
      </w:r>
      <w:r>
        <w:t xml:space="preserve">ion? </w:t>
      </w:r>
    </w:p>
    <w:p w:rsidR="00C40E1A" w:rsidRDefault="00267587">
      <w:pPr>
        <w:pStyle w:val="Heading2"/>
        <w:ind w:left="1380"/>
      </w:pPr>
      <w:r>
        <w:t>4. Conclusion</w:t>
      </w:r>
    </w:p>
    <w:p w:rsidR="00C40E1A" w:rsidRDefault="00267587">
      <w:pPr>
        <w:ind w:left="1380" w:right="1"/>
      </w:pPr>
      <w:r>
        <w:t>Based on the research data in the previous sections, the advantages of the partnership outweigh the disadvantages. The reason for this is because Feel Good Foods’ objectives require a significant marketing strategy; and in this case the FIFA sponsorship wi</w:t>
      </w:r>
      <w:r>
        <w:t xml:space="preserve">ll be the best strategy, from a marketing, financial and ethical point of view. </w:t>
      </w:r>
    </w:p>
    <w:p w:rsidR="00C40E1A" w:rsidRDefault="00267587">
      <w:pPr>
        <w:ind w:left="1380" w:right="1"/>
      </w:pPr>
      <w:r>
        <w:t>Although FIFA’s reputation has suffered a lot of bad publicity over the recent scandals, the FIFA brand itself is still widely recognized as an organization that supports coop</w:t>
      </w:r>
      <w:r>
        <w:t>eration between countries and encourages community partnership through sports. Given FIFA’s recent commitments to improve its brand image through corporate changes improving its corporate governance and transparency, Feel Good Foods’ risk of incurring nega</w:t>
      </w:r>
      <w:r>
        <w:t xml:space="preserve">tive publicity through its partnership with FIFA is minimal. </w:t>
      </w:r>
    </w:p>
    <w:p w:rsidR="00C40E1A" w:rsidRDefault="00267587">
      <w:pPr>
        <w:spacing w:after="81"/>
        <w:ind w:left="1380" w:right="1"/>
      </w:pPr>
      <w:r>
        <w:t>Given the brief interview request from the Vancouver Sun, I would suggest the following key things to be mentioned during the interview regarding the partnership:</w:t>
      </w:r>
    </w:p>
    <w:p w:rsidR="00C40E1A" w:rsidRDefault="00267587">
      <w:pPr>
        <w:numPr>
          <w:ilvl w:val="0"/>
          <w:numId w:val="2"/>
        </w:numPr>
        <w:spacing w:after="80"/>
        <w:ind w:right="1" w:hanging="360"/>
      </w:pPr>
      <w:r>
        <w:t>As Feel Good Foods is a growing</w:t>
      </w:r>
      <w:r>
        <w:t xml:space="preserve"> company, we want to make sure that any potential partnerships we make are up to standard in terms of their reputation and corporate social responsibility. After doing extensive research on FIFA, we have determined that FIFA is an organization that has suf</w:t>
      </w:r>
      <w:r>
        <w:t>fered some bad publicity, but have come out of it strongly by enforcing strict improvements.</w:t>
      </w:r>
    </w:p>
    <w:p w:rsidR="00C40E1A" w:rsidRDefault="00267587">
      <w:pPr>
        <w:numPr>
          <w:ilvl w:val="0"/>
          <w:numId w:val="2"/>
        </w:numPr>
        <w:spacing w:after="79"/>
        <w:ind w:right="1" w:hanging="360"/>
      </w:pPr>
      <w:r>
        <w:t xml:space="preserve">The TEAM5 energy bar targets Canada’s active and health- conscious individuals, and we believe that a partnership with FIFA will be able to positively communicate </w:t>
      </w:r>
      <w:r>
        <w:t xml:space="preserve">our product effectively. </w:t>
      </w:r>
    </w:p>
    <w:p w:rsidR="00C40E1A" w:rsidRDefault="00267587">
      <w:pPr>
        <w:numPr>
          <w:ilvl w:val="0"/>
          <w:numId w:val="2"/>
        </w:numPr>
        <w:ind w:right="1" w:hanging="360"/>
      </w:pPr>
      <w:r>
        <w:t xml:space="preserve">We are very proud to support Canada’s 2015 FIFA Women’s World Cup </w:t>
      </w:r>
    </w:p>
    <w:p w:rsidR="00C40E1A" w:rsidRDefault="00267587">
      <w:pPr>
        <w:pStyle w:val="Heading1"/>
        <w:spacing w:after="228"/>
        <w:ind w:left="1380"/>
      </w:pPr>
      <w:r>
        <w:rPr>
          <w:b/>
          <w:i w:val="0"/>
        </w:rPr>
        <w:t>Bibliography</w:t>
      </w:r>
    </w:p>
    <w:p w:rsidR="00C40E1A" w:rsidRDefault="00267587">
      <w:pPr>
        <w:spacing w:after="272" w:line="267" w:lineRule="auto"/>
        <w:ind w:left="1380"/>
        <w:jc w:val="left"/>
      </w:pPr>
      <w:r>
        <w:rPr>
          <w:sz w:val="20"/>
        </w:rPr>
        <w:t xml:space="preserve">“Hear no evil; FIFA and corruption” </w:t>
      </w:r>
      <w:r>
        <w:rPr>
          <w:i/>
          <w:sz w:val="20"/>
        </w:rPr>
        <w:t>The Economist</w:t>
      </w:r>
      <w:r>
        <w:rPr>
          <w:sz w:val="20"/>
        </w:rPr>
        <w:t xml:space="preserve"> 22 Nov 2014: 54. Print.</w:t>
      </w:r>
    </w:p>
    <w:p w:rsidR="00C40E1A" w:rsidRDefault="00267587">
      <w:pPr>
        <w:spacing w:after="272" w:line="267" w:lineRule="auto"/>
        <w:ind w:left="1380"/>
        <w:jc w:val="left"/>
      </w:pPr>
      <w:r>
        <w:rPr>
          <w:sz w:val="20"/>
        </w:rPr>
        <w:t xml:space="preserve">FIFA Women’s World Cup Germany 2011 Audience Report. </w:t>
      </w:r>
      <w:proofErr w:type="spellStart"/>
      <w:r>
        <w:rPr>
          <w:sz w:val="20"/>
        </w:rPr>
        <w:t>KantarSport</w:t>
      </w:r>
      <w:proofErr w:type="spellEnd"/>
      <w:r>
        <w:rPr>
          <w:sz w:val="20"/>
        </w:rPr>
        <w:t xml:space="preserve">, 2011. </w:t>
      </w:r>
    </w:p>
    <w:p w:rsidR="00C40E1A" w:rsidRDefault="00267587">
      <w:pPr>
        <w:spacing w:after="272" w:line="267" w:lineRule="auto"/>
        <w:ind w:left="1380"/>
        <w:jc w:val="left"/>
      </w:pPr>
      <w:proofErr w:type="spellStart"/>
      <w:r>
        <w:rPr>
          <w:sz w:val="20"/>
        </w:rPr>
        <w:t>Eis</w:t>
      </w:r>
      <w:r>
        <w:rPr>
          <w:sz w:val="20"/>
        </w:rPr>
        <w:t>enmenger</w:t>
      </w:r>
      <w:proofErr w:type="spellEnd"/>
      <w:r>
        <w:rPr>
          <w:sz w:val="20"/>
        </w:rPr>
        <w:t>, L.E. “FIFA mandates transfer matching system to improve deal transparency.” The Examiner. September 30 2010. &lt;</w:t>
      </w:r>
      <w:r>
        <w:rPr>
          <w:rFonts w:ascii="Calibri" w:eastAsia="Calibri" w:hAnsi="Calibri" w:cs="Calibri"/>
          <w:sz w:val="20"/>
        </w:rPr>
        <w:t xml:space="preserve"> </w:t>
      </w:r>
      <w:r>
        <w:rPr>
          <w:sz w:val="20"/>
        </w:rPr>
        <w:t>http://www.examiner.com/article/fifa-mandates-transfer-matching-system-to-improve-dealtransparency&gt;</w:t>
      </w:r>
    </w:p>
    <w:p w:rsidR="00C40E1A" w:rsidRDefault="00267587">
      <w:pPr>
        <w:tabs>
          <w:tab w:val="center" w:pos="1868"/>
          <w:tab w:val="center" w:pos="3519"/>
          <w:tab w:val="center" w:pos="5065"/>
          <w:tab w:val="center" w:pos="6562"/>
          <w:tab w:val="center" w:pos="8014"/>
          <w:tab w:val="center" w:pos="9415"/>
          <w:tab w:val="right" w:pos="10744"/>
        </w:tabs>
        <w:spacing w:after="24" w:line="267" w:lineRule="auto"/>
        <w:ind w:left="0" w:firstLine="0"/>
        <w:jc w:val="left"/>
      </w:pPr>
      <w:r>
        <w:rPr>
          <w:rFonts w:ascii="Calibri" w:eastAsia="Calibri" w:hAnsi="Calibri" w:cs="Calibri"/>
          <w:sz w:val="22"/>
        </w:rPr>
        <w:tab/>
      </w:r>
      <w:r>
        <w:rPr>
          <w:sz w:val="20"/>
        </w:rPr>
        <w:t>Governance</w:t>
      </w:r>
      <w:r>
        <w:rPr>
          <w:sz w:val="20"/>
        </w:rPr>
        <w:tab/>
        <w:t xml:space="preserve"> </w:t>
      </w:r>
      <w:r>
        <w:rPr>
          <w:sz w:val="20"/>
        </w:rPr>
        <w:tab/>
        <w:t>Process.</w:t>
      </w:r>
      <w:r>
        <w:rPr>
          <w:sz w:val="20"/>
        </w:rPr>
        <w:tab/>
        <w:t xml:space="preserve"> </w:t>
      </w:r>
      <w:r>
        <w:rPr>
          <w:sz w:val="20"/>
        </w:rPr>
        <w:tab/>
        <w:t>FIFA.</w:t>
      </w:r>
      <w:r>
        <w:rPr>
          <w:sz w:val="20"/>
        </w:rPr>
        <w:tab/>
        <w:t xml:space="preserve"> </w:t>
      </w:r>
      <w:r>
        <w:rPr>
          <w:sz w:val="20"/>
        </w:rPr>
        <w:tab/>
        <w:t>&lt;</w:t>
      </w:r>
    </w:p>
    <w:p w:rsidR="00C40E1A" w:rsidRDefault="00267587">
      <w:pPr>
        <w:spacing w:after="272" w:line="267" w:lineRule="auto"/>
        <w:ind w:left="1380"/>
        <w:jc w:val="left"/>
      </w:pPr>
      <w:r>
        <w:rPr>
          <w:sz w:val="20"/>
        </w:rPr>
        <w:t>http://www.fifa.com/aboutfifa/organisation/footballgovernance/process/structure.html&gt;</w:t>
      </w:r>
    </w:p>
    <w:p w:rsidR="00C40E1A" w:rsidRDefault="00267587">
      <w:pPr>
        <w:spacing w:after="272" w:line="267" w:lineRule="auto"/>
        <w:ind w:left="1380"/>
        <w:jc w:val="left"/>
      </w:pPr>
      <w:r>
        <w:rPr>
          <w:sz w:val="20"/>
        </w:rPr>
        <w:lastRenderedPageBreak/>
        <w:t>Sports Marketing: A Strategic Perspective, 5</w:t>
      </w:r>
      <w:r>
        <w:rPr>
          <w:sz w:val="18"/>
          <w:vertAlign w:val="superscript"/>
        </w:rPr>
        <w:t>th</w:t>
      </w:r>
      <w:r>
        <w:rPr>
          <w:sz w:val="20"/>
        </w:rPr>
        <w:t xml:space="preserve"> Edition. Shank, D. &amp; </w:t>
      </w:r>
      <w:proofErr w:type="spellStart"/>
      <w:r>
        <w:rPr>
          <w:sz w:val="20"/>
        </w:rPr>
        <w:t>Lyberger</w:t>
      </w:r>
      <w:proofErr w:type="spellEnd"/>
      <w:r>
        <w:rPr>
          <w:sz w:val="20"/>
        </w:rPr>
        <w:t>, Mark R. Routledge, 2015.</w:t>
      </w:r>
    </w:p>
    <w:p w:rsidR="00C40E1A" w:rsidRDefault="00267587">
      <w:pPr>
        <w:spacing w:after="272" w:line="267" w:lineRule="auto"/>
        <w:ind w:left="1380"/>
        <w:jc w:val="left"/>
      </w:pPr>
      <w:proofErr w:type="spellStart"/>
      <w:r>
        <w:rPr>
          <w:sz w:val="20"/>
        </w:rPr>
        <w:t>Masterman</w:t>
      </w:r>
      <w:proofErr w:type="spellEnd"/>
      <w:r>
        <w:rPr>
          <w:sz w:val="20"/>
        </w:rPr>
        <w:t>, Guy. Sponsorship: For a Return on Investment. Butterwort</w:t>
      </w:r>
      <w:r>
        <w:rPr>
          <w:sz w:val="20"/>
        </w:rPr>
        <w:t>h-Heinemann/ Elsevier, 2007.</w:t>
      </w:r>
    </w:p>
    <w:p w:rsidR="00C40E1A" w:rsidRDefault="00267587">
      <w:pPr>
        <w:spacing w:after="272" w:line="267" w:lineRule="auto"/>
        <w:ind w:left="1380"/>
        <w:jc w:val="left"/>
      </w:pPr>
      <w:proofErr w:type="spellStart"/>
      <w:r>
        <w:rPr>
          <w:sz w:val="20"/>
        </w:rPr>
        <w:t>Collett</w:t>
      </w:r>
      <w:proofErr w:type="spellEnd"/>
      <w:r>
        <w:rPr>
          <w:sz w:val="20"/>
        </w:rPr>
        <w:t xml:space="preserve">, Pippa &amp; Fenton, William. The Sponsorship Handbook: Essential Tools, Tips and Techniques for Sponsors and Sponsorship Seekers. </w:t>
      </w:r>
      <w:proofErr w:type="spellStart"/>
      <w:r>
        <w:rPr>
          <w:sz w:val="20"/>
        </w:rPr>
        <w:t>Jossey</w:t>
      </w:r>
      <w:proofErr w:type="spellEnd"/>
      <w:r>
        <w:rPr>
          <w:sz w:val="20"/>
        </w:rPr>
        <w:t>-Bass, 2011.</w:t>
      </w:r>
    </w:p>
    <w:p w:rsidR="00C40E1A" w:rsidRDefault="00267587">
      <w:pPr>
        <w:spacing w:after="677" w:line="267" w:lineRule="auto"/>
        <w:ind w:left="1380"/>
        <w:jc w:val="left"/>
      </w:pPr>
      <w:proofErr w:type="spellStart"/>
      <w:r>
        <w:rPr>
          <w:sz w:val="20"/>
        </w:rPr>
        <w:t>Lum</w:t>
      </w:r>
      <w:proofErr w:type="spellEnd"/>
      <w:r>
        <w:rPr>
          <w:sz w:val="20"/>
        </w:rPr>
        <w:t xml:space="preserve">, Maury </w:t>
      </w:r>
      <w:proofErr w:type="spellStart"/>
      <w:r>
        <w:rPr>
          <w:sz w:val="20"/>
        </w:rPr>
        <w:t>Cmaeron</w:t>
      </w:r>
      <w:proofErr w:type="spellEnd"/>
      <w:r>
        <w:rPr>
          <w:sz w:val="20"/>
        </w:rPr>
        <w:t xml:space="preserve"> &amp;</w:t>
      </w:r>
      <w:r>
        <w:rPr>
          <w:sz w:val="20"/>
        </w:rPr>
        <w:t xml:space="preserve"> Glaser, Eric Willem. Corporate Sponsorship: Measuring its Effectiveness. Simon Fraser University, Vancouver, 2004. </w:t>
      </w:r>
    </w:p>
    <w:p w:rsidR="00C40E1A" w:rsidRDefault="00267587">
      <w:pPr>
        <w:spacing w:after="334" w:line="259" w:lineRule="auto"/>
        <w:ind w:left="1385" w:firstLine="0"/>
        <w:jc w:val="left"/>
      </w:pPr>
      <w:r>
        <w:t xml:space="preserve"> </w:t>
      </w:r>
    </w:p>
    <w:p w:rsidR="00C40E1A" w:rsidRDefault="00267587" w:rsidP="006917E7">
      <w:pPr>
        <w:spacing w:after="6675" w:line="259" w:lineRule="auto"/>
        <w:ind w:left="1385" w:firstLine="0"/>
        <w:jc w:val="left"/>
      </w:pPr>
      <w:r>
        <w:t xml:space="preserve"> </w:t>
      </w:r>
    </w:p>
    <w:sectPr w:rsidR="00C40E1A">
      <w:footerReference w:type="even" r:id="rId7"/>
      <w:footerReference w:type="default" r:id="rId8"/>
      <w:footerReference w:type="first" r:id="rId9"/>
      <w:pgSz w:w="12240" w:h="15840"/>
      <w:pgMar w:top="387" w:right="1440"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7587" w:rsidRDefault="00267587">
      <w:pPr>
        <w:spacing w:after="0" w:line="240" w:lineRule="auto"/>
      </w:pPr>
      <w:r>
        <w:separator/>
      </w:r>
    </w:p>
  </w:endnote>
  <w:endnote w:type="continuationSeparator" w:id="0">
    <w:p w:rsidR="00267587" w:rsidRDefault="002675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0E1A" w:rsidRDefault="00C40E1A">
    <w:pPr>
      <w:spacing w:after="0" w:line="259" w:lineRule="auto"/>
      <w:ind w:left="567"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0E1A" w:rsidRDefault="00C40E1A">
    <w:pPr>
      <w:spacing w:after="0" w:line="259" w:lineRule="auto"/>
      <w:ind w:left="567"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0E1A" w:rsidRDefault="00267587">
    <w:pPr>
      <w:spacing w:after="68" w:line="259" w:lineRule="auto"/>
      <w:ind w:left="1385" w:firstLine="0"/>
      <w:jc w:val="lef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p>
  <w:p w:rsidR="00C40E1A" w:rsidRDefault="00267587">
    <w:pPr>
      <w:spacing w:after="367" w:line="259" w:lineRule="auto"/>
      <w:ind w:left="567" w:firstLine="0"/>
      <w:jc w:val="left"/>
    </w:pPr>
    <w:r>
      <w:rPr>
        <w:sz w:val="16"/>
      </w:rPr>
      <w:t>This study source was downloaded by 100000846637796 from Co</w:t>
    </w:r>
    <w:r>
      <w:rPr>
        <w:sz w:val="16"/>
      </w:rPr>
      <w:t>urseHero.com on 09-09-2022 04:34:33 GMT -05:00</w:t>
    </w:r>
  </w:p>
  <w:p w:rsidR="00C40E1A" w:rsidRDefault="00267587">
    <w:pPr>
      <w:spacing w:after="0" w:line="259" w:lineRule="auto"/>
      <w:ind w:left="567" w:firstLine="0"/>
      <w:jc w:val="left"/>
    </w:pPr>
    <w:r>
      <w:rPr>
        <w:sz w:val="16"/>
      </w:rPr>
      <w:t>https://www.coursehero.com/file/11044019/SAMPLE-ETHICS-REPORT/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7587" w:rsidRDefault="00267587">
      <w:pPr>
        <w:spacing w:after="0" w:line="240" w:lineRule="auto"/>
      </w:pPr>
      <w:r>
        <w:separator/>
      </w:r>
    </w:p>
  </w:footnote>
  <w:footnote w:type="continuationSeparator" w:id="0">
    <w:p w:rsidR="00267587" w:rsidRDefault="002675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0312B5"/>
    <w:multiLevelType w:val="hybridMultilevel"/>
    <w:tmpl w:val="CA6C28B6"/>
    <w:lvl w:ilvl="0" w:tplc="1C66DC1E">
      <w:start w:val="1"/>
      <w:numFmt w:val="bullet"/>
      <w:lvlText w:val="•"/>
      <w:lvlJc w:val="left"/>
      <w:pPr>
        <w:ind w:left="21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20074B8">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D660AA2">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35CA324">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586563C">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FC8F75C">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500ED30">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C3EE1B2">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0956637C">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52A19B4"/>
    <w:multiLevelType w:val="hybridMultilevel"/>
    <w:tmpl w:val="7FDE0454"/>
    <w:lvl w:ilvl="0" w:tplc="55A87986">
      <w:start w:val="1"/>
      <w:numFmt w:val="bullet"/>
      <w:lvlText w:val="•"/>
      <w:lvlJc w:val="left"/>
      <w:pPr>
        <w:ind w:left="21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3FEF9C0">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E9E7C38">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0988238">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0644F0E">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B48D7CA">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836B2A0">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FDC8BC8">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4948254">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E1A"/>
    <w:rsid w:val="00267587"/>
    <w:rsid w:val="006917E7"/>
    <w:rsid w:val="00C40E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283D41-401F-491C-B03A-209EDA173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17" w:line="271" w:lineRule="auto"/>
      <w:ind w:left="1395"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317"/>
      <w:ind w:left="1395" w:hanging="10"/>
      <w:outlineLvl w:val="0"/>
    </w:pPr>
    <w:rPr>
      <w:rFonts w:ascii="Calibri" w:eastAsia="Calibri" w:hAnsi="Calibri" w:cs="Calibri"/>
      <w:i/>
      <w:color w:val="000000"/>
      <w:sz w:val="24"/>
    </w:rPr>
  </w:style>
  <w:style w:type="paragraph" w:styleId="Heading2">
    <w:name w:val="heading 2"/>
    <w:next w:val="Normal"/>
    <w:link w:val="Heading2Char"/>
    <w:uiPriority w:val="9"/>
    <w:unhideWhenUsed/>
    <w:qFormat/>
    <w:pPr>
      <w:keepNext/>
      <w:keepLines/>
      <w:spacing w:after="317"/>
      <w:ind w:left="1395" w:hanging="10"/>
      <w:outlineLvl w:val="1"/>
    </w:pPr>
    <w:rPr>
      <w:rFonts w:ascii="Calibri" w:eastAsia="Calibri" w:hAnsi="Calibri" w:cs="Calibri"/>
      <w:b/>
      <w:color w:val="000000"/>
      <w:sz w:val="24"/>
    </w:rPr>
  </w:style>
  <w:style w:type="paragraph" w:styleId="Heading3">
    <w:name w:val="heading 3"/>
    <w:next w:val="Normal"/>
    <w:link w:val="Heading3Char"/>
    <w:uiPriority w:val="9"/>
    <w:unhideWhenUsed/>
    <w:qFormat/>
    <w:pPr>
      <w:keepNext/>
      <w:keepLines/>
      <w:spacing w:after="317"/>
      <w:ind w:left="1395" w:hanging="10"/>
      <w:outlineLvl w:val="2"/>
    </w:pPr>
    <w:rPr>
      <w:rFonts w:ascii="Calibri" w:eastAsia="Calibri" w:hAnsi="Calibri" w:cs="Calibri"/>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i/>
      <w:color w:val="000000"/>
      <w:sz w:val="24"/>
    </w:rPr>
  </w:style>
  <w:style w:type="character" w:customStyle="1" w:styleId="Heading3Char">
    <w:name w:val="Heading 3 Char"/>
    <w:link w:val="Heading3"/>
    <w:rPr>
      <w:rFonts w:ascii="Calibri" w:eastAsia="Calibri" w:hAnsi="Calibri" w:cs="Calibri"/>
      <w:i/>
      <w:color w:val="000000"/>
      <w:sz w:val="24"/>
    </w:rPr>
  </w:style>
  <w:style w:type="character" w:customStyle="1" w:styleId="Heading2Char">
    <w:name w:val="Heading 2 Char"/>
    <w:link w:val="Heading2"/>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1840</Words>
  <Characters>10493</Characters>
  <Application>Microsoft Office Word</Application>
  <DocSecurity>0</DocSecurity>
  <Lines>87</Lines>
  <Paragraphs>24</Paragraphs>
  <ScaleCrop>false</ScaleCrop>
  <Company/>
  <LinksUpToDate>false</LinksUpToDate>
  <CharactersWithSpaces>12309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100000846637796,Uploader: 100000755708509,CHDL-UGC-Meta</cp:keywords>
  <cp:lastModifiedBy>Microsoft account</cp:lastModifiedBy>
  <cp:revision>2</cp:revision>
  <dcterms:created xsi:type="dcterms:W3CDTF">2022-09-09T09:37:00Z</dcterms:created>
  <dcterms:modified xsi:type="dcterms:W3CDTF">2022-09-09T09:37:00Z</dcterms:modified>
</cp:coreProperties>
</file>