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D76" w:rsidRDefault="00566E35">
      <w:pPr>
        <w:spacing w:after="0" w:line="259" w:lineRule="auto"/>
        <w:ind w:left="1106" w:firstLine="0"/>
      </w:pPr>
      <w:r>
        <w:rPr>
          <w:sz w:val="28"/>
        </w:rPr>
        <w:t>Rise of the German War Machine and the Consequences of Militarism</w:t>
      </w:r>
      <w:r>
        <w:br w:type="page"/>
      </w:r>
    </w:p>
    <w:p w:rsidR="00385D76" w:rsidRDefault="00566E35">
      <w:pPr>
        <w:spacing w:after="395" w:line="282" w:lineRule="auto"/>
        <w:ind w:left="736" w:right="1"/>
        <w:jc w:val="center"/>
      </w:pPr>
      <w:bookmarkStart w:id="0" w:name="_GoBack"/>
      <w:bookmarkEnd w:id="0"/>
      <w:r>
        <w:rPr>
          <w:sz w:val="22"/>
        </w:rPr>
        <w:lastRenderedPageBreak/>
        <w:t>History 372</w:t>
      </w:r>
    </w:p>
    <w:p w:rsidR="00385D76" w:rsidRDefault="00566E35">
      <w:pPr>
        <w:ind w:left="705" w:firstLine="720"/>
      </w:pPr>
      <w:r>
        <w:t>On September 30</w:t>
      </w:r>
      <w:r>
        <w:rPr>
          <w:sz w:val="22"/>
          <w:vertAlign w:val="superscript"/>
        </w:rPr>
        <w:t>th</w:t>
      </w:r>
      <w:r>
        <w:t xml:space="preserve"> of 1862, a debate raged in the Prussian Parliament regarding whether or not to increase state military appropriations. Arguing in favor of the proposed budget was Prime Minister Otto von Bismarck who emphasized the role Prussian strength would ultimately </w:t>
      </w:r>
      <w:r>
        <w:t>have to play in the unification of a German nation: “Prussia's borders according to the Vienna Treaties are not favorable for a healthy, vital state” he contended, “it is not by speeches and majority resolutions that the great questions of the time are dec</w:t>
      </w:r>
      <w:r>
        <w:t>ided – that was the big mistake of 1848 and 1849 – but by iron and blood.”</w:t>
      </w:r>
      <w:r>
        <w:rPr>
          <w:sz w:val="20"/>
          <w:vertAlign w:val="superscript"/>
        </w:rPr>
        <w:footnoteReference w:id="1"/>
      </w:r>
      <w:r>
        <w:t xml:space="preserve"> Eventually Bismarck had his way, and nine years later the German Empire was united after a series of wars in which Prussian forces saw victory over the Danes, </w:t>
      </w:r>
    </w:p>
    <w:p w:rsidR="00385D76" w:rsidRDefault="00566E35">
      <w:pPr>
        <w:spacing w:after="198"/>
        <w:ind w:left="715"/>
      </w:pPr>
      <w:r>
        <w:t>Austrians (plus thei</w:t>
      </w:r>
      <w:r>
        <w:t>r German confederacy allies), and most notably the French. Bismarck’s speech not only foreshadowed the means in which the new nation achieved its unity, but also embodied his pride in the German military tradition, and demonstrated that conservatives and n</w:t>
      </w:r>
      <w:r>
        <w:t xml:space="preserve">ationalists had a willingness to enhance and maintain German military might. </w:t>
      </w:r>
    </w:p>
    <w:p w:rsidR="00385D76" w:rsidRDefault="00566E35">
      <w:pPr>
        <w:spacing w:after="170"/>
        <w:ind w:left="705" w:firstLine="720"/>
      </w:pPr>
      <w:r>
        <w:t xml:space="preserve">Post-unification the government and people of Germany remained ambitious: Eager to forge a strong continental empire, and hopeful of acquiring colonial </w:t>
      </w:r>
      <w:r>
        <w:lastRenderedPageBreak/>
        <w:t xml:space="preserve">possessions just as their </w:t>
      </w:r>
      <w:r>
        <w:t>European neighbors were. To achieve “a place in the sun”</w:t>
      </w:r>
      <w:r>
        <w:rPr>
          <w:sz w:val="20"/>
          <w:vertAlign w:val="superscript"/>
        </w:rPr>
        <w:footnoteReference w:id="2"/>
      </w:r>
      <w:r>
        <w:t xml:space="preserve"> however, the German mentality became to opt for militarily supremacy. Fearing encirclement by enemies (particularly France and Russia), and simultaneously desiring to spread influence abroad, the Ge</w:t>
      </w:r>
      <w:r>
        <w:t xml:space="preserve">rman government allowed a strong commitment to defense spending. While this strategy may have helped Germany pursue its </w:t>
      </w:r>
      <w:r>
        <w:rPr>
          <w:i/>
        </w:rPr>
        <w:t xml:space="preserve">Weltpolitik </w:t>
      </w:r>
      <w:r>
        <w:t>policy, and protect the Empire from potential conflict, it also had a more ominous side effect. The increasing size and stre</w:t>
      </w:r>
      <w:r>
        <w:t>ngth of the German armed forces assisted in antagonizing other European powers, and perhaps also led to an intensified willingness amongst Germans to fight a war if the possibility arose. When the likelihood of this became greatly heightened in the early 1</w:t>
      </w:r>
      <w:r>
        <w:t xml:space="preserve">900s, that attitude and faith in the ability of the armed forces unfortunately persisted. </w:t>
      </w:r>
    </w:p>
    <w:p w:rsidR="00385D76" w:rsidRDefault="00566E35">
      <w:pPr>
        <w:spacing w:after="171"/>
        <w:ind w:left="705" w:firstLine="720"/>
      </w:pPr>
      <w:r>
        <w:t>In aftermath of the Germans1871 defeat of France</w:t>
      </w:r>
      <w:r>
        <w:rPr>
          <w:sz w:val="20"/>
          <w:vertAlign w:val="superscript"/>
        </w:rPr>
        <w:footnoteReference w:id="3"/>
      </w:r>
      <w:r>
        <w:t xml:space="preserve">, it was assured that the army would remain a symbol of pride for Germany, and an important deterrent for reprisal. </w:t>
      </w:r>
      <w:r>
        <w:t>By insisting on the annexation of Alsace and Lorraine, the German government insured lasting hostility from the French. In addition the establishment of the German Empire had altered the European balance of power, and put Germany in a theoretically dangero</w:t>
      </w:r>
      <w:r>
        <w:t xml:space="preserve">us position if it could not keep continental alliances. With France’s friendship </w:t>
      </w:r>
      <w:r>
        <w:lastRenderedPageBreak/>
        <w:t>lost, and the chance of relations souring between Germany Russia and Britain, bolstering the size and strength of the army was an absolute necessity.</w:t>
      </w:r>
    </w:p>
    <w:p w:rsidR="00385D76" w:rsidRDefault="00566E35">
      <w:pPr>
        <w:ind w:left="705" w:firstLine="720"/>
      </w:pPr>
      <w:r>
        <w:t>On February 6</w:t>
      </w:r>
      <w:r>
        <w:rPr>
          <w:sz w:val="22"/>
          <w:vertAlign w:val="superscript"/>
        </w:rPr>
        <w:t>th</w:t>
      </w:r>
      <w:r>
        <w:t>, 1888 Ott</w:t>
      </w:r>
      <w:r>
        <w:t>o von Bismarck again reinforced his desire for an even larger army by introducing a new bill before the</w:t>
      </w:r>
      <w:r>
        <w:rPr>
          <w:i/>
        </w:rPr>
        <w:t xml:space="preserve"> Reichstag</w:t>
      </w:r>
      <w:r>
        <w:rPr>
          <w:sz w:val="20"/>
          <w:vertAlign w:val="superscript"/>
        </w:rPr>
        <w:footnoteReference w:id="4"/>
      </w:r>
      <w:r>
        <w:t>. The new Army Bill added 750,000 men to German ranks during wartime by raising the age limit for reservists, and in its defense Bismarck gave</w:t>
      </w:r>
      <w:r>
        <w:t xml:space="preserve"> yet another rousing speech:  “We no longer ask for love from France or Russia. We run after nobody. We Germans fear God and nothing else on earth!” Upon his proclamation the whole </w:t>
      </w:r>
      <w:r>
        <w:rPr>
          <w:i/>
        </w:rPr>
        <w:t>Reichstag</w:t>
      </w:r>
      <w:r>
        <w:t xml:space="preserve"> (which included future Kaiser Prince </w:t>
      </w:r>
    </w:p>
    <w:p w:rsidR="00385D76" w:rsidRDefault="00566E35">
      <w:pPr>
        <w:spacing w:after="265" w:line="259" w:lineRule="auto"/>
        <w:ind w:left="715"/>
      </w:pPr>
      <w:r>
        <w:t xml:space="preserve">Wilhelm) burst into cheers </w:t>
      </w:r>
      <w:r>
        <w:t xml:space="preserve">and applause. </w:t>
      </w:r>
      <w:r>
        <w:rPr>
          <w:sz w:val="20"/>
          <w:vertAlign w:val="superscript"/>
        </w:rPr>
        <w:footnoteReference w:id="5"/>
      </w:r>
      <w:r>
        <w:t xml:space="preserve"> Bismarck’s words again resonated strongly, as </w:t>
      </w:r>
    </w:p>
    <w:p w:rsidR="00385D76" w:rsidRDefault="00566E35">
      <w:pPr>
        <w:ind w:left="715"/>
      </w:pPr>
      <w:r>
        <w:t>Germany’s continental power was assuredly seeing a substantial boost. Although its army</w:t>
      </w:r>
    </w:p>
    <w:p w:rsidR="00385D76" w:rsidRDefault="00566E35">
      <w:pPr>
        <w:spacing w:after="170"/>
        <w:ind w:left="715"/>
      </w:pPr>
      <w:proofErr w:type="gramStart"/>
      <w:r>
        <w:t>was</w:t>
      </w:r>
      <w:proofErr w:type="gramEnd"/>
      <w:r>
        <w:t xml:space="preserve"> still smaller in 1910 than those of France and Russia</w:t>
      </w:r>
      <w:r>
        <w:rPr>
          <w:sz w:val="20"/>
          <w:vertAlign w:val="superscript"/>
        </w:rPr>
        <w:footnoteReference w:id="6"/>
      </w:r>
      <w:r>
        <w:t xml:space="preserve"> it never the less boasted some advantages over its rivals. Conceivably the most important of these was Germany’s incredible industrial power. Steel and iron output continued to rise dramatically, and by </w:t>
      </w:r>
      <w:r>
        <w:lastRenderedPageBreak/>
        <w:t>1913 German industry produced 17.6 million tons. Sec</w:t>
      </w:r>
      <w:r>
        <w:t>ond only to the United States in this category, Germany’s total tonnage vastly outweighed that of Russia, France, and even Britain.</w:t>
      </w:r>
      <w:r>
        <w:rPr>
          <w:sz w:val="20"/>
          <w:vertAlign w:val="superscript"/>
        </w:rPr>
        <w:t>7</w:t>
      </w:r>
      <w:r>
        <w:t xml:space="preserve"> Having such a high volume of these metals available, the military benefit was tremendous: Germany could feasibly produce mo</w:t>
      </w:r>
      <w:r>
        <w:t>re weapons and more ammunition than any other European nation. By placing those weapons in well trained hands, German forces were formidable even if they were outnumbered in battle. Further legislation also helped to negate the weakness posed by inferior t</w:t>
      </w:r>
      <w:r>
        <w:t>roop numbers. In 1890, Kaiser Wilhelm II issued a “Cabinet Order on the Officer Corps”. In his decree, the Kaiser stated his wish to expand the Army Officer Corps, drawing recruits predominantly from the upper classes of German society.</w:t>
      </w:r>
      <w:r>
        <w:rPr>
          <w:sz w:val="20"/>
          <w:vertAlign w:val="superscript"/>
        </w:rPr>
        <w:footnoteReference w:id="7"/>
      </w:r>
      <w:r>
        <w:t xml:space="preserve"> A large and well t</w:t>
      </w:r>
      <w:r>
        <w:t>rained Officer Corps guaranteed top notch discipline, training, and tactics in all segments of the army. Undoubtedly this was crucial in combat as it ensured that troops in the field would be able to better carry out the high command’s grand strategy. Cons</w:t>
      </w:r>
      <w:r>
        <w:t>idering the military and commercial alliance that was being cultivated between Russia and France in the 1890’s</w:t>
      </w:r>
      <w:r>
        <w:rPr>
          <w:sz w:val="20"/>
          <w:vertAlign w:val="superscript"/>
        </w:rPr>
        <w:footnoteReference w:id="8"/>
      </w:r>
      <w:r>
        <w:t>, German generals had to devise this strategy accordingly. What ultimately materialized was the Schlieffen Plan.</w:t>
      </w:r>
    </w:p>
    <w:p w:rsidR="00385D76" w:rsidRDefault="00566E35">
      <w:pPr>
        <w:spacing w:after="236"/>
        <w:ind w:left="705" w:firstLine="720"/>
      </w:pPr>
      <w:r>
        <w:t xml:space="preserve"> Developed by military chief of </w:t>
      </w:r>
      <w:r>
        <w:t xml:space="preserve">staff Alfred von Schlieffen, the Schlieffen Plan called for a rapid sweeping attack on France via Belgium. Due to the threat posed to </w:t>
      </w:r>
      <w:r>
        <w:lastRenderedPageBreak/>
        <w:t xml:space="preserve">Germany by a Russo/French alliance, the basis of this strategy was to knock out France before Russia had time to mobilize </w:t>
      </w:r>
      <w:r>
        <w:t>its massive army. Having accomplished this objective, Germany and its allies were to turn east to counter the Russian threat.</w:t>
      </w:r>
      <w:r>
        <w:rPr>
          <w:sz w:val="20"/>
          <w:vertAlign w:val="superscript"/>
        </w:rPr>
        <w:footnoteReference w:id="9"/>
      </w:r>
      <w:r>
        <w:t xml:space="preserve"> Considering the two-front predicament Germany faced, this was certainly a reasonable (albeit very bold) war plan. If executed cor</w:t>
      </w:r>
      <w:r>
        <w:t>rectly it gave the German army an opportunity for a quick and glorious victory. Achieving this outcome was no guarantee however, and additionally the Schlieffen Plan’s most important strategic element was also its most major flaw. The neutrality of Belgium</w:t>
      </w:r>
      <w:r>
        <w:t xml:space="preserve"> had been assured by the Great Powers in agreements dating back to 1830, and if Germany were to violate its territorial integrity Britain’s entrance into war on the side of France was likely</w:t>
      </w:r>
      <w:r>
        <w:rPr>
          <w:sz w:val="20"/>
          <w:vertAlign w:val="superscript"/>
        </w:rPr>
        <w:footnoteReference w:id="10"/>
      </w:r>
      <w:r>
        <w:t>. By the late 1800’s the alliance systems which Bismarck (despite</w:t>
      </w:r>
      <w:r>
        <w:t xml:space="preserve"> his support of German military investment) had created to preserve peace were fractured.</w:t>
      </w:r>
      <w:r>
        <w:rPr>
          <w:sz w:val="20"/>
          <w:vertAlign w:val="superscript"/>
        </w:rPr>
        <w:footnoteReference w:id="11"/>
      </w:r>
      <w:r>
        <w:t xml:space="preserve"> Faced with Russian and France to the east and west, it remained crucial for Germany not to incite Britain into joining them. Wilhelm II utterly failed in this regard</w:t>
      </w:r>
      <w:r>
        <w:t xml:space="preserve">, and after dismissing Bismarck in 1890 the young Kaiser sought to enlarge </w:t>
      </w:r>
      <w:r>
        <w:lastRenderedPageBreak/>
        <w:t>the German navy</w:t>
      </w:r>
      <w:r>
        <w:rPr>
          <w:sz w:val="20"/>
          <w:vertAlign w:val="superscript"/>
        </w:rPr>
        <w:footnoteReference w:id="12"/>
      </w:r>
      <w:r>
        <w:t>. As his naval obsession was coming to fruition, Wilhelm II antagonized the British, driving them from isolation and into the Triple Entente</w:t>
      </w:r>
      <w:r>
        <w:rPr>
          <w:sz w:val="20"/>
          <w:vertAlign w:val="superscript"/>
        </w:rPr>
        <w:footnoteReference w:id="13"/>
      </w:r>
      <w:r>
        <w:t xml:space="preserve">. </w:t>
      </w:r>
    </w:p>
    <w:p w:rsidR="00385D76" w:rsidRDefault="00566E35">
      <w:pPr>
        <w:ind w:left="705" w:firstLine="720"/>
      </w:pPr>
      <w:r>
        <w:t>From the start of his</w:t>
      </w:r>
      <w:r>
        <w:t xml:space="preserve"> reign Wilhelm II made it clear that his empire should be a militaristic state, and that ultimate power resided in the Kaiser.</w:t>
      </w:r>
      <w:r>
        <w:rPr>
          <w:sz w:val="20"/>
          <w:vertAlign w:val="superscript"/>
        </w:rPr>
        <w:footnoteReference w:id="14"/>
      </w:r>
      <w:r>
        <w:t xml:space="preserve"> Wilhelm recognized and promoted the importance of Germany’s army</w:t>
      </w:r>
      <w:r>
        <w:rPr>
          <w:sz w:val="20"/>
          <w:vertAlign w:val="superscript"/>
        </w:rPr>
        <w:footnoteReference w:id="15"/>
      </w:r>
      <w:r>
        <w:t>, but it was the navy that absorbed much of his interest, and a</w:t>
      </w:r>
      <w:r>
        <w:t xml:space="preserve"> much greater share of the defense budget. The Kaiser demanded a large fleet that inspired respect, and could protect German colonies and its merchant marine.</w:t>
      </w:r>
      <w:r>
        <w:rPr>
          <w:sz w:val="20"/>
          <w:vertAlign w:val="superscript"/>
        </w:rPr>
        <w:footnoteReference w:id="16"/>
      </w:r>
      <w:r>
        <w:t xml:space="preserve"> With the significant support of Admiral Alfred von Tirpitz, naval bills were indeed passed throu</w:t>
      </w:r>
      <w:r>
        <w:t>gh Reichstag.</w:t>
      </w:r>
      <w:r>
        <w:rPr>
          <w:sz w:val="20"/>
          <w:vertAlign w:val="superscript"/>
        </w:rPr>
        <w:footnoteReference w:id="17"/>
      </w:r>
      <w:r>
        <w:t xml:space="preserve"> The importance of the new policy was reinforced when in 1900 three German mail cruisers were stopped and searched by British warships off the coast of </w:t>
      </w:r>
    </w:p>
    <w:p w:rsidR="00385D76" w:rsidRDefault="00566E35">
      <w:pPr>
        <w:ind w:left="715"/>
      </w:pPr>
      <w:r>
        <w:lastRenderedPageBreak/>
        <w:t xml:space="preserve">South Africa. National outrage followed, and the second Navy bill was approved in a </w:t>
      </w:r>
    </w:p>
    <w:p w:rsidR="00385D76" w:rsidRDefault="00566E35">
      <w:pPr>
        <w:ind w:left="715"/>
      </w:pPr>
      <w:proofErr w:type="gramStart"/>
      <w:r>
        <w:t>wave</w:t>
      </w:r>
      <w:proofErr w:type="gramEnd"/>
      <w:r>
        <w:t xml:space="preserve"> of patriotism</w:t>
      </w:r>
      <w:r>
        <w:rPr>
          <w:sz w:val="20"/>
          <w:vertAlign w:val="superscript"/>
        </w:rPr>
        <w:footnoteReference w:id="18"/>
      </w:r>
      <w:r>
        <w:t xml:space="preserve">. In the preamble for the new Navy Law the adversary in which the German fleet is supposed to outclass is not explicitly stated, but the references to Great Britain are abundant and clear. According to the document, the </w:t>
      </w:r>
      <w:proofErr w:type="spellStart"/>
      <w:r>
        <w:rPr>
          <w:i/>
        </w:rPr>
        <w:t>Kaiserliche</w:t>
      </w:r>
      <w:proofErr w:type="spellEnd"/>
      <w:r>
        <w:rPr>
          <w:i/>
        </w:rPr>
        <w:t xml:space="preserve"> Marine </w:t>
      </w:r>
      <w:r>
        <w:t>had to be as strong as “the greatest naval power” or an “enemy who is more powerful at sea”.</w:t>
      </w:r>
      <w:r>
        <w:rPr>
          <w:sz w:val="20"/>
          <w:vertAlign w:val="superscript"/>
        </w:rPr>
        <w:footnoteReference w:id="19"/>
      </w:r>
      <w:r>
        <w:t>Admiral Tirpitz believed parity was possible, and that it would succeed in dissuading the British navy from attack due to the crippling effect a large naval battle</w:t>
      </w:r>
      <w:r>
        <w:t xml:space="preserve"> might have on their much needed fleet.</w:t>
      </w:r>
      <w:r>
        <w:rPr>
          <w:sz w:val="20"/>
          <w:vertAlign w:val="superscript"/>
        </w:rPr>
        <w:footnoteReference w:id="20"/>
      </w:r>
      <w:r>
        <w:t>Ultimately this was not the case. Britain’s warship production remained very high in the latter years of the 19</w:t>
      </w:r>
      <w:r>
        <w:rPr>
          <w:sz w:val="22"/>
          <w:vertAlign w:val="superscript"/>
        </w:rPr>
        <w:t>th</w:t>
      </w:r>
      <w:r>
        <w:t xml:space="preserve"> century, and Germany was never able to catch up</w:t>
      </w:r>
      <w:r>
        <w:rPr>
          <w:sz w:val="20"/>
          <w:vertAlign w:val="superscript"/>
        </w:rPr>
        <w:footnoteReference w:id="21"/>
      </w:r>
      <w:r>
        <w:t>.  Still, British ambivalence at the rapidly growing n</w:t>
      </w:r>
      <w:r>
        <w:t>umber of German ships soon turned into alarm, especially when it was realized that they were being designed specifically for use in the North Sea.</w:t>
      </w:r>
      <w:r>
        <w:rPr>
          <w:sz w:val="20"/>
          <w:vertAlign w:val="superscript"/>
        </w:rPr>
        <w:footnoteReference w:id="22"/>
      </w:r>
      <w:r>
        <w:t xml:space="preserve">As a result Great Britain </w:t>
      </w:r>
      <w:r>
        <w:lastRenderedPageBreak/>
        <w:t>was at last driven from continental isolation, joining the Triple Entente with Fran</w:t>
      </w:r>
      <w:r>
        <w:t>ce and Russia in 1907.</w:t>
      </w:r>
      <w:r>
        <w:rPr>
          <w:sz w:val="20"/>
          <w:vertAlign w:val="superscript"/>
        </w:rPr>
        <w:footnoteReference w:id="23"/>
      </w:r>
    </w:p>
    <w:p w:rsidR="00385D76" w:rsidRDefault="00566E35">
      <w:pPr>
        <w:ind w:left="705" w:firstLine="720"/>
      </w:pPr>
      <w:r>
        <w:t>Though the government and its subjects were enraged that “encirclement” had become a reality, German military policies were at least partially to blame. All the powers of the Entente were brought together out of feelings of hostilit</w:t>
      </w:r>
      <w:r>
        <w:t>y and fear toward Germany, and its alliance with Austria-Hungary (Russia’s key rival in the Balkans) did not lighten the mood either. In spite of the alienating effect this militarism had on Germany’s neighbors, it remained strongly influential in German s</w:t>
      </w:r>
      <w:r>
        <w:t>ociety.  The military in general held a very high level of prestige in the Empire, contributing to a “societal militarism” that saw the institution’s values seep into everyday life</w:t>
      </w:r>
      <w:r>
        <w:rPr>
          <w:sz w:val="20"/>
          <w:vertAlign w:val="superscript"/>
        </w:rPr>
        <w:footnoteReference w:id="24"/>
      </w:r>
      <w:r>
        <w:t>. Even if army and naval bills did not gain Germany outright military super</w:t>
      </w:r>
      <w:r>
        <w:t>iority over rival nations, they were still popular initiatives amongst the people, and definitely contributed to a sense of nationalism. War was therefore not an entirely unpopular notion if national interest lay at risk, and after Europe’s divide into two</w:t>
      </w:r>
      <w:r>
        <w:t xml:space="preserve"> alliance systems, the threat became more real than it had been in decades. The amount of capital pumped into the German defense budget, combined with the pride German’s took in their soldiers also gave the Kaiser and his government a strong faith in milit</w:t>
      </w:r>
      <w:r>
        <w:t xml:space="preserve">ary and societal capability in the face of war. This confidence coupled with the probable belief of most Germans that war was inevitable </w:t>
      </w:r>
      <w:r>
        <w:rPr>
          <w:u w:val="single" w:color="000000"/>
        </w:rPr>
        <w:t>did</w:t>
      </w:r>
      <w:r>
        <w:t xml:space="preserve"> in fact make war inevitable. Instead of focusing on how to best preserve </w:t>
      </w:r>
      <w:r>
        <w:lastRenderedPageBreak/>
        <w:t>peace, German’s became far more interested</w:t>
      </w:r>
      <w:r>
        <w:t xml:space="preserve"> in entertaining thoughts of when to attack. Now that the Schlieffen Plan was in place, the army was sizeable and well equipped, and the navy was an actual presence, acquiring the spoils of war was a notion that greatly outweighed that of attempting some u</w:t>
      </w:r>
      <w:r>
        <w:t xml:space="preserve">neasy truce. In the end the German government was willing to lead and the people were willing to follow. Sadly for Germany the outcome it desired in the Great War was not to be, and the Empire that was established in battle ironically met its demise under </w:t>
      </w:r>
      <w:r>
        <w:t>a similar circumstance. The outcome of World War I did not completely eradicate German militarism however, and its influence lingered in the national psyche. Eventually it would be harnessed by another man who demanded vengeance for Germany’s defeat. He be</w:t>
      </w:r>
      <w:r>
        <w:t>lieved that a revitalized armed forces could still give his chosen people the conquests they deserved, and that it could also be used to carry out a more personal agenda.</w:t>
      </w:r>
      <w:r>
        <w:br w:type="page"/>
      </w:r>
    </w:p>
    <w:p w:rsidR="00385D76" w:rsidRDefault="00566E35">
      <w:pPr>
        <w:spacing w:after="975"/>
        <w:ind w:left="1450"/>
      </w:pPr>
      <w:r>
        <w:lastRenderedPageBreak/>
        <w:t>Bibliography:</w:t>
      </w:r>
    </w:p>
    <w:p w:rsidR="00385D76" w:rsidRDefault="00566E35">
      <w:pPr>
        <w:numPr>
          <w:ilvl w:val="0"/>
          <w:numId w:val="1"/>
        </w:numPr>
        <w:spacing w:after="217" w:line="265" w:lineRule="auto"/>
        <w:ind w:hanging="360"/>
      </w:pPr>
      <w:r>
        <w:rPr>
          <w:sz w:val="22"/>
        </w:rPr>
        <w:t xml:space="preserve">Alexander, R.S. </w:t>
      </w:r>
      <w:r>
        <w:rPr>
          <w:i/>
          <w:sz w:val="22"/>
        </w:rPr>
        <w:t>Europe's Uncertain Path: 1814-1914</w:t>
      </w:r>
      <w:r>
        <w:rPr>
          <w:sz w:val="22"/>
        </w:rPr>
        <w:t xml:space="preserve">. Singapore: Wiley </w:t>
      </w:r>
    </w:p>
    <w:p w:rsidR="00385D76" w:rsidRDefault="00566E35">
      <w:pPr>
        <w:spacing w:after="414" w:line="265" w:lineRule="auto"/>
        <w:ind w:left="1810"/>
      </w:pPr>
      <w:r>
        <w:rPr>
          <w:sz w:val="22"/>
        </w:rPr>
        <w:t>Blackwell, 2012.</w:t>
      </w:r>
    </w:p>
    <w:p w:rsidR="00385D76" w:rsidRDefault="00566E35">
      <w:pPr>
        <w:numPr>
          <w:ilvl w:val="0"/>
          <w:numId w:val="1"/>
        </w:numPr>
        <w:spacing w:after="223" w:line="259" w:lineRule="auto"/>
        <w:ind w:hanging="360"/>
      </w:pPr>
      <w:r>
        <w:rPr>
          <w:sz w:val="22"/>
        </w:rPr>
        <w:t xml:space="preserve">Massie, Robert. </w:t>
      </w:r>
      <w:r>
        <w:rPr>
          <w:i/>
          <w:sz w:val="22"/>
        </w:rPr>
        <w:t>Dreadnought: Britain, Germany, and the Coming of the Great</w:t>
      </w:r>
    </w:p>
    <w:p w:rsidR="00385D76" w:rsidRDefault="00566E35">
      <w:pPr>
        <w:spacing w:after="414" w:line="265" w:lineRule="auto"/>
        <w:ind w:left="1810"/>
      </w:pPr>
      <w:r>
        <w:rPr>
          <w:i/>
          <w:sz w:val="22"/>
        </w:rPr>
        <w:t>War</w:t>
      </w:r>
      <w:r>
        <w:rPr>
          <w:sz w:val="22"/>
        </w:rPr>
        <w:t xml:space="preserve">. New York: </w:t>
      </w:r>
      <w:proofErr w:type="spellStart"/>
      <w:r>
        <w:rPr>
          <w:sz w:val="22"/>
        </w:rPr>
        <w:t>Ballatine</w:t>
      </w:r>
      <w:proofErr w:type="spellEnd"/>
      <w:r>
        <w:rPr>
          <w:sz w:val="22"/>
        </w:rPr>
        <w:t xml:space="preserve"> Books, 1991.</w:t>
      </w:r>
    </w:p>
    <w:p w:rsidR="00385D76" w:rsidRDefault="00566E35">
      <w:pPr>
        <w:numPr>
          <w:ilvl w:val="0"/>
          <w:numId w:val="1"/>
        </w:numPr>
        <w:spacing w:after="217" w:line="265" w:lineRule="auto"/>
        <w:ind w:hanging="360"/>
      </w:pPr>
      <w:r>
        <w:rPr>
          <w:sz w:val="22"/>
        </w:rPr>
        <w:t xml:space="preserve">Wilkinson, James, and Stuart Hughes. </w:t>
      </w:r>
      <w:r>
        <w:rPr>
          <w:i/>
          <w:sz w:val="22"/>
        </w:rPr>
        <w:t>Contemporary Europe</w:t>
      </w:r>
      <w:r>
        <w:rPr>
          <w:sz w:val="22"/>
        </w:rPr>
        <w:t xml:space="preserve">. Upper Saddle </w:t>
      </w:r>
    </w:p>
    <w:p w:rsidR="00385D76" w:rsidRDefault="00566E35">
      <w:pPr>
        <w:spacing w:after="414" w:line="265" w:lineRule="auto"/>
        <w:ind w:left="1810"/>
      </w:pPr>
      <w:r>
        <w:rPr>
          <w:sz w:val="22"/>
        </w:rPr>
        <w:t>River, New Jersey: Pearson Prentice Hall, 2004.</w:t>
      </w:r>
    </w:p>
    <w:p w:rsidR="00385D76" w:rsidRDefault="00566E35">
      <w:pPr>
        <w:numPr>
          <w:ilvl w:val="0"/>
          <w:numId w:val="1"/>
        </w:numPr>
        <w:spacing w:after="414" w:line="265" w:lineRule="auto"/>
        <w:ind w:hanging="360"/>
      </w:pPr>
      <w:proofErr w:type="spellStart"/>
      <w:r>
        <w:rPr>
          <w:sz w:val="22"/>
        </w:rPr>
        <w:t>Sturme</w:t>
      </w:r>
      <w:r>
        <w:rPr>
          <w:sz w:val="22"/>
        </w:rPr>
        <w:t>r</w:t>
      </w:r>
      <w:proofErr w:type="spellEnd"/>
      <w:r>
        <w:rPr>
          <w:sz w:val="22"/>
        </w:rPr>
        <w:t xml:space="preserve"> Michael, </w:t>
      </w:r>
      <w:proofErr w:type="gramStart"/>
      <w:r>
        <w:rPr>
          <w:i/>
          <w:sz w:val="22"/>
        </w:rPr>
        <w:t>The</w:t>
      </w:r>
      <w:proofErr w:type="gramEnd"/>
      <w:r>
        <w:rPr>
          <w:i/>
          <w:sz w:val="22"/>
        </w:rPr>
        <w:t xml:space="preserve"> German Empire</w:t>
      </w:r>
      <w:r>
        <w:rPr>
          <w:sz w:val="22"/>
        </w:rPr>
        <w:t>, (New York: A Modern Library, 2002).</w:t>
      </w:r>
    </w:p>
    <w:p w:rsidR="00385D76" w:rsidRDefault="00566E35">
      <w:pPr>
        <w:numPr>
          <w:ilvl w:val="0"/>
          <w:numId w:val="1"/>
        </w:numPr>
        <w:spacing w:after="217" w:line="265" w:lineRule="auto"/>
        <w:ind w:hanging="360"/>
      </w:pPr>
      <w:proofErr w:type="spellStart"/>
      <w:r>
        <w:rPr>
          <w:sz w:val="22"/>
        </w:rPr>
        <w:t>Wehler</w:t>
      </w:r>
      <w:proofErr w:type="spellEnd"/>
      <w:r>
        <w:rPr>
          <w:sz w:val="22"/>
        </w:rPr>
        <w:t xml:space="preserve">, Hans-Ulrich. </w:t>
      </w:r>
      <w:r>
        <w:rPr>
          <w:i/>
          <w:sz w:val="22"/>
        </w:rPr>
        <w:t>The German Empire, 1871-1918</w:t>
      </w:r>
      <w:r>
        <w:rPr>
          <w:sz w:val="22"/>
        </w:rPr>
        <w:t xml:space="preserve">. London: Bloomsbury </w:t>
      </w:r>
    </w:p>
    <w:p w:rsidR="00385D76" w:rsidRDefault="00566E35">
      <w:pPr>
        <w:spacing w:after="414" w:line="265" w:lineRule="auto"/>
        <w:ind w:left="1810"/>
      </w:pPr>
      <w:proofErr w:type="gramStart"/>
      <w:r>
        <w:rPr>
          <w:sz w:val="22"/>
        </w:rPr>
        <w:t>Academic ,</w:t>
      </w:r>
      <w:proofErr w:type="gramEnd"/>
      <w:r>
        <w:rPr>
          <w:sz w:val="22"/>
        </w:rPr>
        <w:t xml:space="preserve"> 1997.</w:t>
      </w:r>
    </w:p>
    <w:p w:rsidR="00385D76" w:rsidRDefault="00566E35">
      <w:pPr>
        <w:spacing w:after="438" w:line="259" w:lineRule="auto"/>
        <w:ind w:left="10"/>
      </w:pPr>
      <w:r>
        <w:t>Primary Sources:</w:t>
      </w:r>
    </w:p>
    <w:p w:rsidR="00385D76" w:rsidRDefault="00566E35">
      <w:pPr>
        <w:numPr>
          <w:ilvl w:val="0"/>
          <w:numId w:val="2"/>
        </w:numPr>
        <w:spacing w:after="0" w:line="226" w:lineRule="auto"/>
        <w:ind w:hanging="370"/>
      </w:pPr>
      <w:r>
        <w:t xml:space="preserve">Otto von Bismarck, </w:t>
      </w:r>
      <w:proofErr w:type="spellStart"/>
      <w:r>
        <w:rPr>
          <w:i/>
        </w:rPr>
        <w:t>Reden</w:t>
      </w:r>
      <w:proofErr w:type="spellEnd"/>
      <w:r>
        <w:rPr>
          <w:i/>
        </w:rPr>
        <w:t xml:space="preserve"> 1847-1869</w:t>
      </w:r>
      <w:r>
        <w:t xml:space="preserve"> [</w:t>
      </w:r>
      <w:r>
        <w:rPr>
          <w:i/>
        </w:rPr>
        <w:t>Speeches, 1847-1869</w:t>
      </w:r>
      <w:r>
        <w:t xml:space="preserve">], ed., Wilhelm </w:t>
      </w:r>
      <w:proofErr w:type="spellStart"/>
      <w:r>
        <w:t>Schüßler</w:t>
      </w:r>
      <w:proofErr w:type="spellEnd"/>
      <w:r>
        <w:t xml:space="preserve">, vol. 10, </w:t>
      </w:r>
      <w:r>
        <w:rPr>
          <w:i/>
        </w:rPr>
        <w:t xml:space="preserve">Bismarck: Die </w:t>
      </w:r>
      <w:proofErr w:type="spellStart"/>
      <w:r>
        <w:rPr>
          <w:i/>
        </w:rPr>
        <w:t>gesammelten</w:t>
      </w:r>
      <w:proofErr w:type="spellEnd"/>
      <w:r>
        <w:rPr>
          <w:i/>
        </w:rPr>
        <w:t xml:space="preserve"> </w:t>
      </w:r>
      <w:proofErr w:type="spellStart"/>
      <w:r>
        <w:rPr>
          <w:i/>
        </w:rPr>
        <w:t>Werke</w:t>
      </w:r>
      <w:proofErr w:type="spellEnd"/>
      <w:r>
        <w:t xml:space="preserve"> [</w:t>
      </w:r>
      <w:r>
        <w:rPr>
          <w:i/>
        </w:rPr>
        <w:t>Bismarck: Collected Works</w:t>
      </w:r>
      <w:r>
        <w:t xml:space="preserve">], ed. Hermann von </w:t>
      </w:r>
      <w:proofErr w:type="spellStart"/>
      <w:r>
        <w:t>Petersdorff</w:t>
      </w:r>
      <w:proofErr w:type="spellEnd"/>
      <w:r>
        <w:t>. Berlin: Otto Stolberg, 1924-35, pp. 139-40.</w:t>
      </w:r>
    </w:p>
    <w:p w:rsidR="00385D76" w:rsidRDefault="00566E35">
      <w:pPr>
        <w:numPr>
          <w:ilvl w:val="0"/>
          <w:numId w:val="2"/>
        </w:numPr>
        <w:spacing w:after="0" w:line="226" w:lineRule="auto"/>
        <w:ind w:hanging="370"/>
      </w:pPr>
      <w:r>
        <w:t xml:space="preserve">C. Gauss, </w:t>
      </w:r>
      <w:proofErr w:type="gramStart"/>
      <w:r>
        <w:rPr>
          <w:i/>
        </w:rPr>
        <w:t>The</w:t>
      </w:r>
      <w:proofErr w:type="gramEnd"/>
      <w:r>
        <w:rPr>
          <w:i/>
        </w:rPr>
        <w:t xml:space="preserve"> German Kaiser as Shown in His Public Utterances</w:t>
      </w:r>
      <w:r>
        <w:t xml:space="preserve"> (New York: Charles Scribn</w:t>
      </w:r>
      <w:r>
        <w:t>er's Sons, 1915), pp. 181-183.</w:t>
      </w:r>
    </w:p>
    <w:p w:rsidR="00385D76" w:rsidRDefault="00566E35">
      <w:pPr>
        <w:numPr>
          <w:ilvl w:val="0"/>
          <w:numId w:val="2"/>
        </w:numPr>
        <w:spacing w:after="35" w:line="226" w:lineRule="auto"/>
        <w:ind w:hanging="370"/>
      </w:pPr>
      <w:proofErr w:type="spellStart"/>
      <w:r>
        <w:rPr>
          <w:i/>
        </w:rPr>
        <w:t>Militär-Wochenblatt</w:t>
      </w:r>
      <w:proofErr w:type="spellEnd"/>
      <w:r>
        <w:t xml:space="preserve"> [</w:t>
      </w:r>
      <w:r>
        <w:rPr>
          <w:i/>
        </w:rPr>
        <w:t>Military Weekly</w:t>
      </w:r>
      <w:r>
        <w:t>], vol. 75, no. 32, Berlin, 1890, April 9, 1890, pp. 1009-12</w:t>
      </w:r>
    </w:p>
    <w:p w:rsidR="00385D76" w:rsidRDefault="00385D76" w:rsidP="0062028C">
      <w:pPr>
        <w:ind w:left="0" w:firstLine="0"/>
        <w:sectPr w:rsidR="00385D76">
          <w:footerReference w:type="even" r:id="rId7"/>
          <w:footerReference w:type="default" r:id="rId8"/>
          <w:footerReference w:type="first" r:id="rId9"/>
          <w:pgSz w:w="12240" w:h="15840"/>
          <w:pgMar w:top="1450" w:right="1442" w:bottom="1869" w:left="1442" w:header="720" w:footer="719" w:gutter="0"/>
          <w:cols w:space="720"/>
        </w:sectPr>
      </w:pPr>
    </w:p>
    <w:p w:rsidR="00385D76" w:rsidRDefault="00385D76" w:rsidP="0062028C">
      <w:pPr>
        <w:spacing w:after="0" w:line="265" w:lineRule="auto"/>
        <w:ind w:left="0" w:firstLine="0"/>
      </w:pPr>
    </w:p>
    <w:sectPr w:rsidR="00385D76">
      <w:footerReference w:type="even" r:id="rId10"/>
      <w:footerReference w:type="default" r:id="rId11"/>
      <w:footerReference w:type="first" r:id="rId12"/>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6E35" w:rsidRDefault="00566E35">
      <w:pPr>
        <w:spacing w:after="0" w:line="240" w:lineRule="auto"/>
      </w:pPr>
      <w:r>
        <w:separator/>
      </w:r>
    </w:p>
  </w:endnote>
  <w:endnote w:type="continuationSeparator" w:id="0">
    <w:p w:rsidR="00566E35" w:rsidRDefault="00566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D76" w:rsidRDefault="00566E35">
    <w:pPr>
      <w:spacing w:after="0" w:line="259" w:lineRule="auto"/>
      <w:ind w:left="0" w:firstLine="0"/>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D76" w:rsidRDefault="00385D76">
    <w:pPr>
      <w:spacing w:after="0" w:line="259" w:lineRule="auto"/>
      <w:ind w:lef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D76" w:rsidRDefault="00566E35">
    <w:pPr>
      <w:spacing w:after="0" w:line="259" w:lineRule="auto"/>
      <w:ind w:left="0" w:firstLine="0"/>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D76" w:rsidRDefault="00385D76">
    <w:pPr>
      <w:spacing w:after="160" w:line="259" w:lineRule="auto"/>
      <w:ind w:lef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D76" w:rsidRDefault="00385D76">
    <w:pPr>
      <w:spacing w:after="160" w:line="259" w:lineRule="auto"/>
      <w:ind w:left="0"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D76" w:rsidRDefault="00385D76">
    <w:pPr>
      <w:spacing w:after="160" w:line="259" w:lineRule="auto"/>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6E35" w:rsidRDefault="00566E35">
      <w:pPr>
        <w:spacing w:after="686" w:line="231" w:lineRule="auto"/>
        <w:ind w:left="0" w:firstLine="0"/>
      </w:pPr>
      <w:r>
        <w:separator/>
      </w:r>
    </w:p>
  </w:footnote>
  <w:footnote w:type="continuationSeparator" w:id="0">
    <w:p w:rsidR="00566E35" w:rsidRDefault="00566E35">
      <w:pPr>
        <w:spacing w:after="686" w:line="231" w:lineRule="auto"/>
        <w:ind w:left="0" w:firstLine="0"/>
      </w:pPr>
      <w:r>
        <w:continuationSeparator/>
      </w:r>
    </w:p>
  </w:footnote>
  <w:footnote w:id="1">
    <w:p w:rsidR="00385D76" w:rsidRDefault="00566E35">
      <w:pPr>
        <w:pStyle w:val="footnotedescription"/>
        <w:spacing w:after="686" w:line="231" w:lineRule="auto"/>
      </w:pPr>
      <w:r>
        <w:rPr>
          <w:rStyle w:val="footnotemark"/>
        </w:rPr>
        <w:footnoteRef/>
      </w:r>
      <w:r>
        <w:t xml:space="preserve"> </w:t>
      </w:r>
      <w:r>
        <w:rPr>
          <w:sz w:val="18"/>
        </w:rPr>
        <w:t xml:space="preserve">Otto von Bismarck, </w:t>
      </w:r>
      <w:proofErr w:type="spellStart"/>
      <w:r>
        <w:rPr>
          <w:i/>
          <w:sz w:val="18"/>
        </w:rPr>
        <w:t>Reden</w:t>
      </w:r>
      <w:proofErr w:type="spellEnd"/>
      <w:r>
        <w:rPr>
          <w:i/>
          <w:sz w:val="18"/>
        </w:rPr>
        <w:t xml:space="preserve"> 1847-1869</w:t>
      </w:r>
      <w:r>
        <w:rPr>
          <w:sz w:val="18"/>
        </w:rPr>
        <w:t xml:space="preserve"> [</w:t>
      </w:r>
      <w:r>
        <w:rPr>
          <w:i/>
          <w:sz w:val="18"/>
        </w:rPr>
        <w:t>Speeches, 1847-1869</w:t>
      </w:r>
      <w:r>
        <w:rPr>
          <w:sz w:val="18"/>
        </w:rPr>
        <w:t xml:space="preserve">], ed., Wilhelm </w:t>
      </w:r>
      <w:proofErr w:type="spellStart"/>
      <w:r>
        <w:rPr>
          <w:sz w:val="18"/>
        </w:rPr>
        <w:t>Schüßler</w:t>
      </w:r>
      <w:proofErr w:type="spellEnd"/>
      <w:r>
        <w:rPr>
          <w:sz w:val="18"/>
        </w:rPr>
        <w:t xml:space="preserve">, vol. 10, </w:t>
      </w:r>
      <w:r>
        <w:rPr>
          <w:i/>
          <w:sz w:val="18"/>
        </w:rPr>
        <w:t xml:space="preserve">Bismarck: Die </w:t>
      </w:r>
      <w:proofErr w:type="spellStart"/>
      <w:r>
        <w:rPr>
          <w:i/>
          <w:sz w:val="18"/>
        </w:rPr>
        <w:t>gesammelten</w:t>
      </w:r>
      <w:proofErr w:type="spellEnd"/>
      <w:r>
        <w:rPr>
          <w:i/>
          <w:sz w:val="18"/>
        </w:rPr>
        <w:t xml:space="preserve"> </w:t>
      </w:r>
      <w:proofErr w:type="spellStart"/>
      <w:r>
        <w:rPr>
          <w:i/>
          <w:sz w:val="18"/>
        </w:rPr>
        <w:t>Werke</w:t>
      </w:r>
      <w:proofErr w:type="spellEnd"/>
      <w:r>
        <w:rPr>
          <w:sz w:val="18"/>
        </w:rPr>
        <w:t xml:space="preserve"> [</w:t>
      </w:r>
      <w:r>
        <w:rPr>
          <w:i/>
          <w:sz w:val="18"/>
        </w:rPr>
        <w:t>Bismarck: Collected Works</w:t>
      </w:r>
      <w:r>
        <w:rPr>
          <w:sz w:val="18"/>
        </w:rPr>
        <w:t xml:space="preserve">], ed. Hermann von </w:t>
      </w:r>
      <w:proofErr w:type="spellStart"/>
      <w:r>
        <w:rPr>
          <w:sz w:val="18"/>
        </w:rPr>
        <w:t>Petersdorff</w:t>
      </w:r>
      <w:proofErr w:type="spellEnd"/>
      <w:r>
        <w:rPr>
          <w:sz w:val="18"/>
        </w:rPr>
        <w:t>. Berlin: Otto Stolberg, 1924-35, pp. 139-40.</w:t>
      </w:r>
    </w:p>
  </w:footnote>
  <w:footnote w:id="2">
    <w:p w:rsidR="00385D76" w:rsidRDefault="00566E35">
      <w:pPr>
        <w:pStyle w:val="footnotedescription"/>
        <w:spacing w:after="0" w:line="245" w:lineRule="auto"/>
        <w:jc w:val="both"/>
      </w:pPr>
      <w:r>
        <w:rPr>
          <w:rStyle w:val="footnotemark"/>
        </w:rPr>
        <w:footnoteRef/>
      </w:r>
      <w:r>
        <w:t xml:space="preserve"> </w:t>
      </w:r>
      <w:r>
        <w:rPr>
          <w:sz w:val="18"/>
        </w:rPr>
        <w:t xml:space="preserve">C. Gauss, </w:t>
      </w:r>
      <w:proofErr w:type="gramStart"/>
      <w:r>
        <w:rPr>
          <w:i/>
          <w:sz w:val="18"/>
        </w:rPr>
        <w:t>The</w:t>
      </w:r>
      <w:proofErr w:type="gramEnd"/>
      <w:r>
        <w:rPr>
          <w:i/>
          <w:sz w:val="18"/>
        </w:rPr>
        <w:t xml:space="preserve"> German Kaiser as Shown in His Public Utterances</w:t>
      </w:r>
      <w:r>
        <w:rPr>
          <w:sz w:val="18"/>
        </w:rPr>
        <w:t xml:space="preserve"> (New York: Charles Scribner's Sons, 1915), pp. 181­183.</w:t>
      </w:r>
    </w:p>
  </w:footnote>
  <w:footnote w:id="3">
    <w:p w:rsidR="00385D76" w:rsidRDefault="00566E35">
      <w:pPr>
        <w:pStyle w:val="footnotedescription"/>
      </w:pPr>
      <w:r>
        <w:rPr>
          <w:rStyle w:val="footnotemark"/>
        </w:rPr>
        <w:footnoteRef/>
      </w:r>
      <w:r>
        <w:t xml:space="preserve"> </w:t>
      </w:r>
      <w:proofErr w:type="spellStart"/>
      <w:r>
        <w:t>Sturmer</w:t>
      </w:r>
      <w:proofErr w:type="spellEnd"/>
      <w:r>
        <w:t xml:space="preserve">, Michael. </w:t>
      </w:r>
      <w:r>
        <w:rPr>
          <w:i/>
        </w:rPr>
        <w:t>The German Empire</w:t>
      </w:r>
      <w:r>
        <w:t xml:space="preserve"> (Modern Library, New Y</w:t>
      </w:r>
      <w:r>
        <w:t>ork, 2002). Chronology p. xvii</w:t>
      </w:r>
    </w:p>
  </w:footnote>
  <w:footnote w:id="4">
    <w:p w:rsidR="00385D76" w:rsidRDefault="00566E35">
      <w:pPr>
        <w:pStyle w:val="footnotedescription"/>
        <w:spacing w:after="664" w:line="226" w:lineRule="auto"/>
      </w:pPr>
      <w:r>
        <w:rPr>
          <w:rStyle w:val="footnotemark"/>
        </w:rPr>
        <w:footnoteRef/>
      </w:r>
      <w:r>
        <w:t xml:space="preserve"> Massie, Robert. </w:t>
      </w:r>
      <w:r>
        <w:rPr>
          <w:i/>
        </w:rPr>
        <w:t>Dreadnought: Britain, Germany, and the Coming of the Great War</w:t>
      </w:r>
      <w:r>
        <w:t>. (</w:t>
      </w:r>
      <w:proofErr w:type="spellStart"/>
      <w:r>
        <w:t>Ballatine</w:t>
      </w:r>
      <w:proofErr w:type="spellEnd"/>
      <w:r>
        <w:t xml:space="preserve"> Books, New York 1991) p. 90</w:t>
      </w:r>
    </w:p>
  </w:footnote>
  <w:footnote w:id="5">
    <w:p w:rsidR="00385D76" w:rsidRDefault="00566E35">
      <w:pPr>
        <w:pStyle w:val="footnotedescription"/>
        <w:spacing w:after="0"/>
      </w:pPr>
      <w:r>
        <w:rPr>
          <w:rStyle w:val="footnotemark"/>
        </w:rPr>
        <w:footnoteRef/>
      </w:r>
      <w:r>
        <w:t xml:space="preserve"> Ibid p. 90-91 </w:t>
      </w:r>
    </w:p>
  </w:footnote>
  <w:footnote w:id="6">
    <w:p w:rsidR="00385D76" w:rsidRDefault="00566E35">
      <w:pPr>
        <w:pStyle w:val="footnotedescription"/>
        <w:spacing w:after="0" w:line="879" w:lineRule="auto"/>
        <w:ind w:right="2133"/>
      </w:pPr>
      <w:r>
        <w:rPr>
          <w:rStyle w:val="footnotemark"/>
        </w:rPr>
        <w:footnoteRef/>
      </w:r>
      <w:r>
        <w:t xml:space="preserve"> </w:t>
      </w:r>
      <w:proofErr w:type="spellStart"/>
      <w:r>
        <w:t>Sturmer</w:t>
      </w:r>
      <w:proofErr w:type="spellEnd"/>
      <w:r>
        <w:t xml:space="preserve">, Michael. </w:t>
      </w:r>
      <w:r>
        <w:rPr>
          <w:i/>
        </w:rPr>
        <w:t>The German Empire</w:t>
      </w:r>
      <w:r>
        <w:t xml:space="preserve"> (Modern Library, New York, 2002). P.88 7 Ibid. p.</w:t>
      </w:r>
      <w:r>
        <w:t xml:space="preserve"> 89</w:t>
      </w:r>
    </w:p>
  </w:footnote>
  <w:footnote w:id="7">
    <w:p w:rsidR="00385D76" w:rsidRDefault="00566E35">
      <w:pPr>
        <w:pStyle w:val="footnotedescription"/>
        <w:spacing w:after="0"/>
      </w:pPr>
      <w:r>
        <w:rPr>
          <w:rStyle w:val="footnotemark"/>
        </w:rPr>
        <w:footnoteRef/>
      </w:r>
      <w:r>
        <w:t xml:space="preserve"> </w:t>
      </w:r>
      <w:proofErr w:type="spellStart"/>
      <w:r>
        <w:rPr>
          <w:i/>
        </w:rPr>
        <w:t>Militär-Wochenblatt</w:t>
      </w:r>
      <w:proofErr w:type="spellEnd"/>
      <w:r>
        <w:t xml:space="preserve"> [</w:t>
      </w:r>
      <w:r>
        <w:rPr>
          <w:i/>
        </w:rPr>
        <w:t>Military Weekly</w:t>
      </w:r>
      <w:r>
        <w:t>], vol. 75, no. 32, Berlin, 1890, April 9, 1890, pp. 1009-12</w:t>
      </w:r>
    </w:p>
  </w:footnote>
  <w:footnote w:id="8">
    <w:p w:rsidR="00385D76" w:rsidRDefault="00566E35">
      <w:pPr>
        <w:pStyle w:val="footnotedescription"/>
        <w:spacing w:after="860"/>
      </w:pPr>
      <w:r>
        <w:rPr>
          <w:rStyle w:val="footnotemark"/>
        </w:rPr>
        <w:footnoteRef/>
      </w:r>
      <w:r>
        <w:t xml:space="preserve"> </w:t>
      </w:r>
      <w:proofErr w:type="spellStart"/>
      <w:r>
        <w:t>Sturmer</w:t>
      </w:r>
      <w:proofErr w:type="spellEnd"/>
      <w:r>
        <w:t xml:space="preserve">, Michael. </w:t>
      </w:r>
      <w:r>
        <w:rPr>
          <w:i/>
        </w:rPr>
        <w:t>The German Empire</w:t>
      </w:r>
      <w:r>
        <w:t xml:space="preserve"> (Modern Library, New York, 2002). P.83</w:t>
      </w:r>
    </w:p>
  </w:footnote>
  <w:footnote w:id="9">
    <w:p w:rsidR="00385D76" w:rsidRDefault="00566E35">
      <w:pPr>
        <w:pStyle w:val="footnotedescription"/>
        <w:spacing w:after="664" w:line="226" w:lineRule="auto"/>
        <w:jc w:val="both"/>
      </w:pPr>
      <w:r>
        <w:rPr>
          <w:rStyle w:val="footnotemark"/>
        </w:rPr>
        <w:footnoteRef/>
      </w:r>
      <w:r>
        <w:t xml:space="preserve">  Wilkinson James, Hughes Stuart. </w:t>
      </w:r>
      <w:r>
        <w:rPr>
          <w:i/>
        </w:rPr>
        <w:t>Contemporary Europe: A History</w:t>
      </w:r>
      <w:r>
        <w:t xml:space="preserve">. (Pearson </w:t>
      </w:r>
      <w:r>
        <w:t>Prentice Hall, Upper Saddle River, NJ, 2004)p. 44-46</w:t>
      </w:r>
    </w:p>
  </w:footnote>
  <w:footnote w:id="10">
    <w:p w:rsidR="00385D76" w:rsidRDefault="00566E35">
      <w:pPr>
        <w:pStyle w:val="footnotedescription"/>
      </w:pPr>
      <w:r>
        <w:rPr>
          <w:rStyle w:val="footnotemark"/>
        </w:rPr>
        <w:footnoteRef/>
      </w:r>
      <w:r>
        <w:t xml:space="preserve"> ibid</w:t>
      </w:r>
    </w:p>
  </w:footnote>
  <w:footnote w:id="11">
    <w:p w:rsidR="00385D76" w:rsidRDefault="00566E35">
      <w:pPr>
        <w:pStyle w:val="footnotedescription"/>
        <w:spacing w:after="0"/>
      </w:pPr>
      <w:r>
        <w:rPr>
          <w:rStyle w:val="footnotemark"/>
        </w:rPr>
        <w:footnoteRef/>
      </w:r>
      <w:r>
        <w:t xml:space="preserve"> Alexander, R.S. </w:t>
      </w:r>
      <w:r>
        <w:rPr>
          <w:i/>
        </w:rPr>
        <w:t>Europe's Uncertain Path: 1814-1914</w:t>
      </w:r>
      <w:r>
        <w:t>. (Singapore: Wiley Blackwell, 2012.)</w:t>
      </w:r>
      <w:r>
        <w:rPr>
          <w:i/>
        </w:rPr>
        <w:t>p.184</w:t>
      </w:r>
    </w:p>
  </w:footnote>
  <w:footnote w:id="12">
    <w:p w:rsidR="00385D76" w:rsidRDefault="00566E35">
      <w:pPr>
        <w:pStyle w:val="footnotedescription"/>
        <w:spacing w:after="664" w:line="226" w:lineRule="auto"/>
      </w:pPr>
      <w:r>
        <w:rPr>
          <w:rStyle w:val="footnotemark"/>
        </w:rPr>
        <w:footnoteRef/>
      </w:r>
      <w:r>
        <w:t xml:space="preserve"> Massie, Robert. </w:t>
      </w:r>
      <w:r>
        <w:rPr>
          <w:i/>
        </w:rPr>
        <w:t>Dreadnought: Britain, Germany, and the Coming of the Great War</w:t>
      </w:r>
      <w:r>
        <w:t>. (</w:t>
      </w:r>
      <w:proofErr w:type="spellStart"/>
      <w:r>
        <w:t>Ballatine</w:t>
      </w:r>
      <w:proofErr w:type="spellEnd"/>
      <w:r>
        <w:t xml:space="preserve"> Books, New York 1991). p.163</w:t>
      </w:r>
    </w:p>
  </w:footnote>
  <w:footnote w:id="13">
    <w:p w:rsidR="00385D76" w:rsidRDefault="00566E35">
      <w:pPr>
        <w:pStyle w:val="footnotedescription"/>
      </w:pPr>
      <w:r>
        <w:rPr>
          <w:rStyle w:val="footnotemark"/>
        </w:rPr>
        <w:footnoteRef/>
      </w:r>
      <w:r>
        <w:t xml:space="preserve"> </w:t>
      </w:r>
      <w:proofErr w:type="spellStart"/>
      <w:r>
        <w:t>Sturmer</w:t>
      </w:r>
      <w:proofErr w:type="spellEnd"/>
      <w:r>
        <w:t xml:space="preserve">, Michael. </w:t>
      </w:r>
      <w:r>
        <w:rPr>
          <w:i/>
        </w:rPr>
        <w:t>The German Empire</w:t>
      </w:r>
      <w:r>
        <w:t xml:space="preserve"> (Modern Library, New York, 2002). P. 89</w:t>
      </w:r>
    </w:p>
  </w:footnote>
  <w:footnote w:id="14">
    <w:p w:rsidR="00385D76" w:rsidRDefault="00566E35">
      <w:pPr>
        <w:pStyle w:val="footnotedescription"/>
        <w:spacing w:after="664" w:line="226" w:lineRule="auto"/>
      </w:pPr>
      <w:r>
        <w:rPr>
          <w:rStyle w:val="footnotemark"/>
        </w:rPr>
        <w:footnoteRef/>
      </w:r>
      <w:r>
        <w:t xml:space="preserve"> Massie, Robert. </w:t>
      </w:r>
      <w:r>
        <w:rPr>
          <w:i/>
        </w:rPr>
        <w:t>Dreadnought: Britain, Germany, and the Coming of the Great War</w:t>
      </w:r>
      <w:r>
        <w:t>. (</w:t>
      </w:r>
      <w:proofErr w:type="spellStart"/>
      <w:r>
        <w:t>Ballatine</w:t>
      </w:r>
      <w:proofErr w:type="spellEnd"/>
      <w:r>
        <w:t xml:space="preserve"> Books, New York 1991)p. 105</w:t>
      </w:r>
    </w:p>
  </w:footnote>
  <w:footnote w:id="15">
    <w:p w:rsidR="00385D76" w:rsidRDefault="00566E35">
      <w:pPr>
        <w:pStyle w:val="footnotedescription"/>
      </w:pPr>
      <w:r>
        <w:rPr>
          <w:rStyle w:val="footnotemark"/>
        </w:rPr>
        <w:footnoteRef/>
      </w:r>
      <w:r>
        <w:t xml:space="preserve"> ibid</w:t>
      </w:r>
    </w:p>
  </w:footnote>
  <w:footnote w:id="16">
    <w:p w:rsidR="00385D76" w:rsidRDefault="00566E35">
      <w:pPr>
        <w:pStyle w:val="footnotedescription"/>
      </w:pPr>
      <w:r>
        <w:rPr>
          <w:rStyle w:val="footnotemark"/>
        </w:rPr>
        <w:footnoteRef/>
      </w:r>
      <w:r>
        <w:t xml:space="preserve"> Ibid. </w:t>
      </w:r>
      <w:r>
        <w:t>p. 164</w:t>
      </w:r>
    </w:p>
  </w:footnote>
  <w:footnote w:id="17">
    <w:p w:rsidR="00385D76" w:rsidRDefault="00566E35">
      <w:pPr>
        <w:pStyle w:val="footnotedescription"/>
        <w:spacing w:after="0"/>
      </w:pPr>
      <w:r>
        <w:rPr>
          <w:rStyle w:val="footnotemark"/>
        </w:rPr>
        <w:footnoteRef/>
      </w:r>
      <w:r>
        <w:t xml:space="preserve"> Ibid. p. 186</w:t>
      </w:r>
    </w:p>
  </w:footnote>
  <w:footnote w:id="18">
    <w:p w:rsidR="00385D76" w:rsidRDefault="00566E35">
      <w:pPr>
        <w:pStyle w:val="footnotedescription"/>
      </w:pPr>
      <w:r>
        <w:rPr>
          <w:rStyle w:val="footnotemark"/>
        </w:rPr>
        <w:footnoteRef/>
      </w:r>
      <w:r>
        <w:t xml:space="preserve"> Ibid. p. 180</w:t>
      </w:r>
    </w:p>
  </w:footnote>
  <w:footnote w:id="19">
    <w:p w:rsidR="00385D76" w:rsidRDefault="00566E35">
      <w:pPr>
        <w:pStyle w:val="footnotedescription"/>
      </w:pPr>
      <w:r>
        <w:rPr>
          <w:rStyle w:val="footnotemark"/>
        </w:rPr>
        <w:footnoteRef/>
      </w:r>
      <w:r>
        <w:t xml:space="preserve"> Ibid. p.181</w:t>
      </w:r>
    </w:p>
  </w:footnote>
  <w:footnote w:id="20">
    <w:p w:rsidR="00385D76" w:rsidRDefault="00566E35">
      <w:pPr>
        <w:pStyle w:val="footnotedescription"/>
      </w:pPr>
      <w:r>
        <w:rPr>
          <w:rStyle w:val="footnotemark"/>
        </w:rPr>
        <w:footnoteRef/>
      </w:r>
      <w:r>
        <w:t xml:space="preserve"> Ibid </w:t>
      </w:r>
    </w:p>
  </w:footnote>
  <w:footnote w:id="21">
    <w:p w:rsidR="00385D76" w:rsidRDefault="00566E35">
      <w:pPr>
        <w:pStyle w:val="footnotedescription"/>
      </w:pPr>
      <w:r>
        <w:rPr>
          <w:rStyle w:val="footnotemark"/>
        </w:rPr>
        <w:footnoteRef/>
      </w:r>
      <w:r>
        <w:t xml:space="preserve"> Ibid. p. 182</w:t>
      </w:r>
    </w:p>
  </w:footnote>
  <w:footnote w:id="22">
    <w:p w:rsidR="00385D76" w:rsidRDefault="00566E35">
      <w:pPr>
        <w:pStyle w:val="footnotedescription"/>
      </w:pPr>
      <w:r>
        <w:rPr>
          <w:rStyle w:val="footnotemark"/>
        </w:rPr>
        <w:footnoteRef/>
      </w:r>
      <w:r>
        <w:t xml:space="preserve"> Ibid p.183</w:t>
      </w:r>
    </w:p>
  </w:footnote>
  <w:footnote w:id="23">
    <w:p w:rsidR="00385D76" w:rsidRDefault="00566E35">
      <w:pPr>
        <w:pStyle w:val="footnotedescription"/>
        <w:spacing w:after="0"/>
      </w:pPr>
      <w:r>
        <w:rPr>
          <w:rStyle w:val="footnotemark"/>
        </w:rPr>
        <w:footnoteRef/>
      </w:r>
      <w:r>
        <w:t xml:space="preserve"> </w:t>
      </w:r>
      <w:proofErr w:type="spellStart"/>
      <w:r>
        <w:t>Sturmer</w:t>
      </w:r>
      <w:proofErr w:type="spellEnd"/>
      <w:r>
        <w:t xml:space="preserve">, Michael. </w:t>
      </w:r>
      <w:r>
        <w:rPr>
          <w:i/>
        </w:rPr>
        <w:t>The German Empire.</w:t>
      </w:r>
      <w:r>
        <w:t xml:space="preserve"> (Modern Library, New York, 2002). p. 89</w:t>
      </w:r>
    </w:p>
  </w:footnote>
  <w:footnote w:id="24">
    <w:p w:rsidR="00385D76" w:rsidRDefault="00566E35">
      <w:pPr>
        <w:pStyle w:val="footnotedescription"/>
        <w:spacing w:after="0"/>
      </w:pPr>
      <w:r>
        <w:rPr>
          <w:rStyle w:val="footnotemark"/>
        </w:rPr>
        <w:footnoteRef/>
      </w:r>
      <w:r>
        <w:t xml:space="preserve"> </w:t>
      </w:r>
      <w:proofErr w:type="spellStart"/>
      <w:r>
        <w:t>Wehler</w:t>
      </w:r>
      <w:proofErr w:type="spellEnd"/>
      <w:r>
        <w:t xml:space="preserve">, Hans-Ulrich. </w:t>
      </w:r>
      <w:r>
        <w:rPr>
          <w:i/>
        </w:rPr>
        <w:t>The German Empire, 1871-1918</w:t>
      </w:r>
      <w:proofErr w:type="gramStart"/>
      <w:r>
        <w:rPr>
          <w:i/>
        </w:rPr>
        <w:t>.(</w:t>
      </w:r>
      <w:proofErr w:type="gramEnd"/>
      <w:r>
        <w:rPr>
          <w:i/>
        </w:rPr>
        <w:t>Bloomsbury Academic, London,1998). p.156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D31D00"/>
    <w:multiLevelType w:val="hybridMultilevel"/>
    <w:tmpl w:val="8E7EE2DA"/>
    <w:lvl w:ilvl="0" w:tplc="6AC8FDE6">
      <w:start w:val="1"/>
      <w:numFmt w:val="decimal"/>
      <w:lvlText w:val="%1."/>
      <w:lvlJc w:val="left"/>
      <w:pPr>
        <w:ind w:left="17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A4E4080">
      <w:start w:val="1"/>
      <w:numFmt w:val="lowerLetter"/>
      <w:lvlText w:val="%2"/>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3841780">
      <w:start w:val="1"/>
      <w:numFmt w:val="lowerRoman"/>
      <w:lvlText w:val="%3"/>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108B6A8">
      <w:start w:val="1"/>
      <w:numFmt w:val="decimal"/>
      <w:lvlText w:val="%4"/>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D824EBE">
      <w:start w:val="1"/>
      <w:numFmt w:val="lowerLetter"/>
      <w:lvlText w:val="%5"/>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88CA20A">
      <w:start w:val="1"/>
      <w:numFmt w:val="lowerRoman"/>
      <w:lvlText w:val="%6"/>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34411D4">
      <w:start w:val="1"/>
      <w:numFmt w:val="decimal"/>
      <w:lvlText w:val="%7"/>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78CEFE">
      <w:start w:val="1"/>
      <w:numFmt w:val="lowerLetter"/>
      <w:lvlText w:val="%8"/>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7D2F71E">
      <w:start w:val="1"/>
      <w:numFmt w:val="lowerRoman"/>
      <w:lvlText w:val="%9"/>
      <w:lvlJc w:val="left"/>
      <w:pPr>
        <w:ind w:left="7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6F5426DF"/>
    <w:multiLevelType w:val="hybridMultilevel"/>
    <w:tmpl w:val="D402CE8E"/>
    <w:lvl w:ilvl="0" w:tplc="CD2A7856">
      <w:start w:val="1"/>
      <w:numFmt w:val="decimal"/>
      <w:lvlText w:val="%1."/>
      <w:lvlJc w:val="left"/>
      <w:pPr>
        <w:ind w:left="7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9D4155C">
      <w:start w:val="1"/>
      <w:numFmt w:val="lowerLetter"/>
      <w:lvlText w:val="%2"/>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934FAE8">
      <w:start w:val="1"/>
      <w:numFmt w:val="lowerRoman"/>
      <w:lvlText w:val="%3"/>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DAC8BCE">
      <w:start w:val="1"/>
      <w:numFmt w:val="decimal"/>
      <w:lvlText w:val="%4"/>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FF2609A">
      <w:start w:val="1"/>
      <w:numFmt w:val="lowerLetter"/>
      <w:lvlText w:val="%5"/>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9A4CA00">
      <w:start w:val="1"/>
      <w:numFmt w:val="lowerRoman"/>
      <w:lvlText w:val="%6"/>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B32BF9E">
      <w:start w:val="1"/>
      <w:numFmt w:val="decimal"/>
      <w:lvlText w:val="%7"/>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0AE51FA">
      <w:start w:val="1"/>
      <w:numFmt w:val="lowerLetter"/>
      <w:lvlText w:val="%8"/>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7A62B3C">
      <w:start w:val="1"/>
      <w:numFmt w:val="lowerRoman"/>
      <w:lvlText w:val="%9"/>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D76"/>
    <w:rsid w:val="00385D76"/>
    <w:rsid w:val="00566E35"/>
    <w:rsid w:val="00620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216235-579E-4BF6-AB44-513EEB812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4" w:lineRule="auto"/>
      <w:ind w:left="73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630"/>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footnotemark">
    <w:name w:val="footnote mark"/>
    <w:hidden/>
    <w:rPr>
      <w:rFonts w:ascii="Calibri" w:eastAsia="Calibri" w:hAnsi="Calibri" w:cs="Calibri"/>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1779</Words>
  <Characters>10144</Characters>
  <Application>Microsoft Office Word</Application>
  <DocSecurity>0</DocSecurity>
  <Lines>84</Lines>
  <Paragraphs>23</Paragraphs>
  <ScaleCrop>false</ScaleCrop>
  <Company/>
  <LinksUpToDate>false</LinksUpToDate>
  <CharactersWithSpaces>11900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dc:creator>
  <cp:keywords/>
  <cp:lastModifiedBy>Microsoft account</cp:lastModifiedBy>
  <cp:revision>2</cp:revision>
  <dcterms:created xsi:type="dcterms:W3CDTF">2022-04-25T10:20:00Z</dcterms:created>
  <dcterms:modified xsi:type="dcterms:W3CDTF">2022-04-25T10:20:00Z</dcterms:modified>
</cp:coreProperties>
</file>