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6999" w:rsidRDefault="00C20F33">
      <w:pPr>
        <w:pStyle w:val="Heading1"/>
      </w:pPr>
      <w:r>
        <w:t xml:space="preserve">     Developing a Case Conceptualization Using Humanistic Approach: The Case of Jane</w:t>
      </w:r>
    </w:p>
    <w:p w:rsidR="00846999" w:rsidRDefault="00C20F33">
      <w:pPr>
        <w:ind w:left="-3" w:right="92" w:firstLine="720"/>
      </w:pPr>
      <w:r>
        <w:t>This paper will discuss the development of a case conceptualization for Jane, a theoretical client, using the humanistic approach for the exploration of her personality. T</w:t>
      </w:r>
      <w:r>
        <w:t>he first section will introduce Jane, the prospective client, and her presenting issues. Following this the focus will be on Jane’s personality through the lens of the humanistic approach to counselling, highlighting Carl Roger’s client-</w:t>
      </w:r>
      <w:proofErr w:type="spellStart"/>
      <w:r>
        <w:t>centred</w:t>
      </w:r>
      <w:proofErr w:type="spellEnd"/>
      <w:r>
        <w:t xml:space="preserve"> therapy. Th</w:t>
      </w:r>
      <w:r>
        <w:t>e client’s personality will also be described using the significant factors associated with Roger’s humanistic approach, including self-actualization tendencies, unconditional positive rega</w:t>
      </w:r>
      <w:bookmarkStart w:id="0" w:name="_GoBack"/>
      <w:bookmarkEnd w:id="0"/>
      <w:r>
        <w:t xml:space="preserve">rd, positive self-regard, conditions of worth, and </w:t>
      </w:r>
      <w:proofErr w:type="gramStart"/>
      <w:r>
        <w:t>congruence</w:t>
      </w:r>
      <w:proofErr w:type="gramEnd"/>
      <w:r>
        <w:t xml:space="preserve">. The </w:t>
      </w:r>
      <w:r>
        <w:t xml:space="preserve">final section of this paper will focus on a case conceptualization for Jane using the first 6 components of the I CAN START model </w:t>
      </w:r>
      <w:proofErr w:type="gramStart"/>
      <w:r>
        <w:t>( Kress</w:t>
      </w:r>
      <w:proofErr w:type="gramEnd"/>
      <w:r>
        <w:t>.,</w:t>
      </w:r>
      <w:proofErr w:type="spellStart"/>
      <w:r>
        <w:t>n.d</w:t>
      </w:r>
      <w:proofErr w:type="spellEnd"/>
      <w:r>
        <w:t>.)</w:t>
      </w:r>
    </w:p>
    <w:p w:rsidR="00846999" w:rsidRDefault="00C20F33">
      <w:pPr>
        <w:pStyle w:val="Heading2"/>
        <w:ind w:left="7"/>
      </w:pPr>
      <w:r>
        <w:t>Introduction of the Client</w:t>
      </w:r>
    </w:p>
    <w:p w:rsidR="00846999" w:rsidRDefault="00C20F33">
      <w:pPr>
        <w:ind w:left="-3" w:right="273" w:firstLine="720"/>
      </w:pPr>
      <w:r>
        <w:t>Jane is a 30-year-old, only child who comes from a broken home. Her parents divorced</w:t>
      </w:r>
      <w:r>
        <w:t xml:space="preserve"> when she was 8 years old. Jane’s father struggled with alcohol abuse and was physically abusive to both her and her mother. Jane disclosed that both of her parents were very critical of how she behaves and her emotional responses. She recalls being upset </w:t>
      </w:r>
      <w:r>
        <w:t>that her goldfish had died, and her parents responded by making her sit in a closet for hours. After the divorce, Jane claimed she was unwanted by her parents and was sent to live with her aunt. Her aunt met her physiological needs of food and shelter howe</w:t>
      </w:r>
      <w:r>
        <w:t xml:space="preserve">ver, she was very distant and aloof towards Jane. After the move, Jane began self-harming by cutting her arms and legs and threatening to kill herself. Academics </w:t>
      </w:r>
      <w:r w:rsidR="00C67F04">
        <w:t>and socialization suffered, and</w:t>
      </w:r>
      <w:r>
        <w:t xml:space="preserve"> Jane struggled to develop meaningful friendships. Peers often</w:t>
      </w:r>
      <w:r>
        <w:t xml:space="preserve"> described her as unpredictable and intense. Examples of this were she would yell “</w:t>
      </w:r>
      <w:r>
        <w:rPr>
          <w:color w:val="3A3A3A"/>
        </w:rPr>
        <w:t xml:space="preserve">You don’t really want to be my friend so get out of here” and other times she </w:t>
      </w:r>
      <w:r>
        <w:rPr>
          <w:color w:val="3A3A3A"/>
        </w:rPr>
        <w:lastRenderedPageBreak/>
        <w:t xml:space="preserve">would beg them to stay with her. </w:t>
      </w:r>
      <w:r>
        <w:t>Jane has been married twice, both intense stormy relationships</w:t>
      </w:r>
      <w:r>
        <w:t xml:space="preserve">. </w:t>
      </w:r>
    </w:p>
    <w:p w:rsidR="00846999" w:rsidRDefault="00C20F33">
      <w:pPr>
        <w:spacing w:after="236" w:line="259" w:lineRule="auto"/>
        <w:ind w:left="7" w:right="273"/>
      </w:pPr>
      <w:r>
        <w:t xml:space="preserve">During a heated argument about selling their home, Jane attempted to stab her second husband. </w:t>
      </w:r>
    </w:p>
    <w:p w:rsidR="00846999" w:rsidRDefault="00C20F33">
      <w:pPr>
        <w:spacing w:after="236" w:line="259" w:lineRule="auto"/>
        <w:ind w:left="7" w:right="273"/>
      </w:pPr>
      <w:r>
        <w:t>This was something Jane had recently observed on a show she watched.</w:t>
      </w:r>
    </w:p>
    <w:p w:rsidR="00846999" w:rsidRDefault="00C20F33">
      <w:pPr>
        <w:ind w:left="7" w:right="273"/>
      </w:pPr>
      <w:r>
        <w:rPr>
          <w:color w:val="3A3A3A"/>
        </w:rPr>
        <w:t xml:space="preserve">Jane describes herself as very social, attending as many parties as she can, including ones she was not formally invited to. Being around others energized her. When she is by herself she feels empty and alone. </w:t>
      </w:r>
      <w:r>
        <w:t>Jane was also known to partake in risky, impul</w:t>
      </w:r>
      <w:r>
        <w:t xml:space="preserve">sive </w:t>
      </w:r>
      <w:proofErr w:type="spellStart"/>
      <w:r>
        <w:t>behaviour</w:t>
      </w:r>
      <w:proofErr w:type="spellEnd"/>
      <w:r>
        <w:t xml:space="preserve"> like driving her car too fast on backcountry roads or driving through a four-way stop without lights. Impulsive shopping and unnecessary spending have been a struggle for Jane. She has found herself claiming personal bankruptcy on a number o</w:t>
      </w:r>
      <w:r>
        <w:t>f occasions. This excessive spending was blamed on her stress or credit card companies for allowing her to spend. Jane has attempted to manage her feelings with drugs but has consistently used alcohol to “deaden her pain”. Jane struggled to keep a consiste</w:t>
      </w:r>
      <w:r>
        <w:t>nt job due to her inability to get along with others and incidents of stealing. Jane described predominately feeling unhappy with her life and anxious most of the time.</w:t>
      </w:r>
    </w:p>
    <w:p w:rsidR="00846999" w:rsidRDefault="00C20F33">
      <w:pPr>
        <w:pStyle w:val="Heading2"/>
        <w:ind w:left="7"/>
      </w:pPr>
      <w:r>
        <w:t>Exploration of Personality Perspective</w:t>
      </w:r>
    </w:p>
    <w:p w:rsidR="00846999" w:rsidRDefault="00C20F33">
      <w:pPr>
        <w:ind w:left="7" w:right="273"/>
      </w:pPr>
      <w:r>
        <w:t>This section will explore Jane’s personality thr</w:t>
      </w:r>
      <w:r>
        <w:t>ough the lens of Carl Roger’s humanistic approach to personality. This approach is more specifically called person-</w:t>
      </w:r>
      <w:proofErr w:type="spellStart"/>
      <w:r>
        <w:t>centred</w:t>
      </w:r>
      <w:proofErr w:type="spellEnd"/>
      <w:r>
        <w:t xml:space="preserve"> therapy which postulates that all humans have an inbuilt tendency toward fulfillment and growth (Proctor et a., 2020) and the ultimat</w:t>
      </w:r>
      <w:r>
        <w:t xml:space="preserve">e goal is assisting the client to facilitate change to a positive sense of self (Schultz &amp; Schultz, 2017). Through this lens, the counsellor will examine positive regard, conditions of worth and incongruence. Analyzing Jane through Rogers’ </w:t>
      </w:r>
      <w:r>
        <w:lastRenderedPageBreak/>
        <w:t>approach of self</w:t>
      </w:r>
      <w:r>
        <w:t>-insight and his assessment of personality development enables a true understanding of Jane’s presenting issues.</w:t>
      </w:r>
    </w:p>
    <w:p w:rsidR="00846999" w:rsidRDefault="00C20F33">
      <w:pPr>
        <w:pStyle w:val="Heading2"/>
        <w:ind w:left="7"/>
      </w:pPr>
      <w:r>
        <w:t>Positive regard and self-regard</w:t>
      </w:r>
    </w:p>
    <w:p w:rsidR="00846999" w:rsidRDefault="00C20F33">
      <w:pPr>
        <w:ind w:left="7" w:right="273"/>
      </w:pPr>
      <w:r>
        <w:t>Positive regard is described as acceptance, love and approval from others, Roger’s described this need as persi</w:t>
      </w:r>
      <w:r>
        <w:t>stent and universal (Schultz &amp; Schultz, 2017). It is believed that positive regard emerges as a very young child, starting with mother and child. This is something that is crucial for healthy personality development (Schultz &amp; Schultz, 2017). Jane’s childh</w:t>
      </w:r>
      <w:r>
        <w:t>ood environment was not conducive to the facilitation of positive self-regard, as her parents did not demonstrate love and acceptance towards her and sent her to be raised by her aunt who also demonstrated a lack of interest in Jane</w:t>
      </w:r>
      <w:proofErr w:type="gramStart"/>
      <w:r>
        <w:t>..</w:t>
      </w:r>
      <w:proofErr w:type="gramEnd"/>
      <w:r>
        <w:t xml:space="preserve"> This consistent rejec</w:t>
      </w:r>
      <w:r>
        <w:t xml:space="preserve">tion and lack of positive regard in childhood for Jane have caused her to continuously seek self-regard externally (Schultz &amp; </w:t>
      </w:r>
    </w:p>
    <w:p w:rsidR="00846999" w:rsidRDefault="00C20F33">
      <w:pPr>
        <w:spacing w:after="236" w:line="259" w:lineRule="auto"/>
        <w:ind w:left="7" w:right="273"/>
      </w:pPr>
      <w:r>
        <w:t>Schultz, 2017).</w:t>
      </w:r>
    </w:p>
    <w:p w:rsidR="00846999" w:rsidRDefault="00C20F33">
      <w:pPr>
        <w:ind w:left="7" w:right="273"/>
      </w:pPr>
      <w:r>
        <w:t>Throughout the counselling process utilizing person-</w:t>
      </w:r>
      <w:proofErr w:type="spellStart"/>
      <w:r>
        <w:t>centred</w:t>
      </w:r>
      <w:proofErr w:type="spellEnd"/>
      <w:r>
        <w:t xml:space="preserve"> therapy, the framework that builds the therapeutic al</w:t>
      </w:r>
      <w:r>
        <w:t xml:space="preserve">liance must include unconditional positive regard for Jane. This is a vital component and is strongly linked to a facilitative working alliance and stronger outcomes </w:t>
      </w:r>
    </w:p>
    <w:p w:rsidR="00846999" w:rsidRDefault="00C20F33">
      <w:pPr>
        <w:spacing w:after="236" w:line="259" w:lineRule="auto"/>
        <w:ind w:left="7" w:right="273"/>
      </w:pPr>
      <w:r>
        <w:t>(Davis et al. 2015).</w:t>
      </w:r>
    </w:p>
    <w:p w:rsidR="00846999" w:rsidRDefault="00C20F33">
      <w:pPr>
        <w:ind w:left="7" w:right="273"/>
      </w:pPr>
      <w:r>
        <w:t>The experience of positive regard typically begins to come from with</w:t>
      </w:r>
      <w:r>
        <w:t xml:space="preserve">in rather than from others, which is referred to as positive self-regard (Schultz &amp; Schultz, 2017). Due to Jane’s lack of positive regard from her caregivers, it will be challenging for her to develop a strong sense of positive self-regard. Jane’s lack of </w:t>
      </w:r>
      <w:r>
        <w:t xml:space="preserve">positive self-regard is demonstrated through her </w:t>
      </w:r>
      <w:r>
        <w:lastRenderedPageBreak/>
        <w:t>continuous search for love and affection through friendships and romantic relationships. (</w:t>
      </w:r>
      <w:proofErr w:type="spellStart"/>
      <w:r>
        <w:t>Thome</w:t>
      </w:r>
      <w:proofErr w:type="spellEnd"/>
      <w:r>
        <w:t xml:space="preserve"> &amp; Sanders., 2012). </w:t>
      </w:r>
    </w:p>
    <w:p w:rsidR="00846999" w:rsidRDefault="00C20F33">
      <w:pPr>
        <w:spacing w:after="236"/>
        <w:ind w:left="7" w:right="273"/>
      </w:pPr>
      <w:r>
        <w:t>Through the process of converting positive regard into positive self-regard children will d</w:t>
      </w:r>
      <w:r>
        <w:t>evelop a sense of worth (Schultz &amp; Schultz, 2017). In Jane’s case, her lack of opportunity to develop positive self-regard resulted in a self-perception of low self-worth. This perception is paralyzing to Jane and will prevent her from developing or actual</w:t>
      </w:r>
      <w:r>
        <w:t xml:space="preserve">izing self (Schultz &amp; Schultz, </w:t>
      </w:r>
    </w:p>
    <w:p w:rsidR="00846999" w:rsidRDefault="00C20F33">
      <w:pPr>
        <w:spacing w:after="236" w:line="259" w:lineRule="auto"/>
        <w:ind w:left="7" w:right="273"/>
      </w:pPr>
      <w:r>
        <w:t>2017).</w:t>
      </w:r>
    </w:p>
    <w:p w:rsidR="00846999" w:rsidRDefault="00C20F33">
      <w:pPr>
        <w:pStyle w:val="Heading2"/>
        <w:ind w:left="7"/>
      </w:pPr>
      <w:r>
        <w:t xml:space="preserve">Incongruence </w:t>
      </w:r>
    </w:p>
    <w:p w:rsidR="00846999" w:rsidRDefault="00C20F33">
      <w:pPr>
        <w:ind w:left="7" w:right="273"/>
      </w:pPr>
      <w:r>
        <w:t>Incongruence refers to a discrepancy between the actual experience of an individual and the self-picture of the individual insofar as it represents that experience (</w:t>
      </w:r>
      <w:proofErr w:type="gramStart"/>
      <w:r>
        <w:t>Purton.,</w:t>
      </w:r>
      <w:proofErr w:type="gramEnd"/>
      <w:r>
        <w:t xml:space="preserve"> 2013). Jane demonstrates mism</w:t>
      </w:r>
      <w:r>
        <w:t>atching real-life experience and her self-awareness regarding attempts at relationships and problematic spending. In Jane’s case with reckless spending and multiple declarations of bankruptcy, she continues to demonstrate a lack of awareness that her spend</w:t>
      </w:r>
      <w:r>
        <w:t>ing is a function of her poor choices and impulsivity. She shifts blame from self-responsibility to that of other or credit card companies. Rogers asserts that emotional health is a function of the degree one is congruent between self-concept and experienc</w:t>
      </w:r>
      <w:r>
        <w:t>es (Schultz &amp; Schultz., 2017). Jane continually struggles with an inaccurate perception of self, others and experiences as they really are. Rogers believes the lack of unconditional positive regard that Jane experienced as a child, will cause her to intern</w:t>
      </w:r>
      <w:r>
        <w:t>alize all her negative experiences leading to the belief she is of little worth (Schultz &amp; Schultz., 2017).</w:t>
      </w:r>
    </w:p>
    <w:p w:rsidR="00846999" w:rsidRDefault="00C20F33">
      <w:pPr>
        <w:spacing w:after="236" w:line="259" w:lineRule="auto"/>
        <w:ind w:left="0" w:right="385" w:firstLine="0"/>
        <w:jc w:val="center"/>
      </w:pPr>
      <w:r>
        <w:rPr>
          <w:b/>
        </w:rPr>
        <w:t xml:space="preserve">Case Conceptualization utilizing the I CAN ST Model </w:t>
      </w:r>
    </w:p>
    <w:p w:rsidR="00846999" w:rsidRDefault="00C20F33">
      <w:pPr>
        <w:pStyle w:val="Heading2"/>
        <w:ind w:left="7"/>
      </w:pPr>
      <w:r>
        <w:lastRenderedPageBreak/>
        <w:t>Individual Counsellor</w:t>
      </w:r>
    </w:p>
    <w:p w:rsidR="00846999" w:rsidRDefault="00C20F33">
      <w:pPr>
        <w:ind w:left="7" w:right="273"/>
      </w:pPr>
      <w:r>
        <w:t xml:space="preserve">A positive therapeutic relationship is widely recognized as an important </w:t>
      </w:r>
      <w:r>
        <w:t>factor that contributes to the effectiveness of clinical outcomes with clients in counselling (</w:t>
      </w:r>
      <w:proofErr w:type="spellStart"/>
      <w:r>
        <w:t>McMain</w:t>
      </w:r>
      <w:proofErr w:type="spellEnd"/>
      <w:r>
        <w:t xml:space="preserve"> et al., 2015).  Jane’s pervasive emotional dysregulation, impulsivity, and interpersonal difficulties that characterize her day-to-day life may make formi</w:t>
      </w:r>
      <w:r>
        <w:t>ng a positive working relationship a challenge.   Therefore, the therapeutic relationship fundamentally relies on the therapist being congruent and accepting towards Jane while extending unconditional positive regard for her (</w:t>
      </w:r>
      <w:proofErr w:type="spellStart"/>
      <w:r>
        <w:rPr>
          <w:color w:val="333333"/>
        </w:rPr>
        <w:t>Ivtzan</w:t>
      </w:r>
      <w:proofErr w:type="spellEnd"/>
      <w:r>
        <w:rPr>
          <w:color w:val="333333"/>
        </w:rPr>
        <w:t xml:space="preserve"> et al., 2012). Addition</w:t>
      </w:r>
      <w:r>
        <w:rPr>
          <w:color w:val="333333"/>
        </w:rPr>
        <w:t xml:space="preserve">ally, it is essential the counsellor demonstrate unwavering empathy for Jane, which is </w:t>
      </w:r>
      <w:r>
        <w:t>understanding her world, viewing it from the inside but making sure distance is maintained to avoid mixing personal thoughts and feelings. This will safeguard Jane’s and</w:t>
      </w:r>
      <w:r>
        <w:t xml:space="preserve"> her therapist’s own beliefs. Empathy has been researched as an aspect that influences the development of a compassionate, trustworthy therapeutic relationship, helps in the attainment of positive therapeutic outcomes and helps to regulate sensitivity to J</w:t>
      </w:r>
      <w:r>
        <w:t xml:space="preserve">ane’s emotional responses </w:t>
      </w:r>
    </w:p>
    <w:p w:rsidR="00846999" w:rsidRDefault="00C20F33">
      <w:pPr>
        <w:spacing w:after="236" w:line="259" w:lineRule="auto"/>
        <w:ind w:left="7" w:right="88"/>
      </w:pPr>
      <w:r>
        <w:t>(</w:t>
      </w:r>
      <w:proofErr w:type="spellStart"/>
      <w:r>
        <w:rPr>
          <w:color w:val="333333"/>
        </w:rPr>
        <w:t>Boulton</w:t>
      </w:r>
      <w:proofErr w:type="spellEnd"/>
      <w:r>
        <w:rPr>
          <w:color w:val="333333"/>
        </w:rPr>
        <w:t xml:space="preserve"> &amp; Davis., 2019).</w:t>
      </w:r>
    </w:p>
    <w:p w:rsidR="00846999" w:rsidRDefault="00C20F33">
      <w:pPr>
        <w:pStyle w:val="Heading2"/>
        <w:ind w:left="7"/>
      </w:pPr>
      <w:r>
        <w:t>Contextual Assessment</w:t>
      </w:r>
    </w:p>
    <w:p w:rsidR="00846999" w:rsidRDefault="00C20F33">
      <w:pPr>
        <w:ind w:left="7"/>
      </w:pPr>
      <w:r>
        <w:t>Jane has consistently struggled with ongoing relationships both with her peers, partners and family. Developmentally, she has not had the opportunity to build and sustain healthy bonds with her parents, her peers and later her marriages. This resulted in J</w:t>
      </w:r>
      <w:r>
        <w:t xml:space="preserve">ane demonstrating impulsive </w:t>
      </w:r>
      <w:proofErr w:type="spellStart"/>
      <w:r>
        <w:t>behaviour</w:t>
      </w:r>
      <w:proofErr w:type="spellEnd"/>
      <w:r>
        <w:t>, alcohol abuse, depressed or anxious mood, suicidal ideation, violence and self-harm.  Jane also demonstrates poor interpersonal skills with others. Two failed marriages, no close friend(s) or social support are all th</w:t>
      </w:r>
      <w:r>
        <w:t xml:space="preserve">e result of her lack of awareness of her emotional </w:t>
      </w:r>
      <w:r>
        <w:lastRenderedPageBreak/>
        <w:t>dysregulation.  In the context of social settings, Jane loves to be the center of attention indicating she feels more alive although she continues to struggle with understanding appropriate social cues, by</w:t>
      </w:r>
      <w:r>
        <w:t xml:space="preserve"> attending parties she was not welcome to. Jane also struggles to maintain consistent and reliable employment.</w:t>
      </w:r>
    </w:p>
    <w:p w:rsidR="00846999" w:rsidRDefault="00C20F33">
      <w:pPr>
        <w:pStyle w:val="Heading2"/>
        <w:ind w:left="7"/>
      </w:pPr>
      <w:r>
        <w:t>Assessment and Diagnosis</w:t>
      </w:r>
    </w:p>
    <w:p w:rsidR="00846999" w:rsidRDefault="00C20F33">
      <w:pPr>
        <w:spacing w:after="0"/>
        <w:ind w:left="7" w:right="88"/>
      </w:pPr>
      <w:r>
        <w:rPr>
          <w:color w:val="333333"/>
        </w:rPr>
        <w:t>Clinical interviews offer the opportunity for the counsellor to observe the patient's interactions with them. The counse</w:t>
      </w:r>
      <w:r>
        <w:rPr>
          <w:color w:val="333333"/>
        </w:rPr>
        <w:t xml:space="preserve">llor has the opportunity to reflect not only on the content of the responses but also on the emotional expression and any non-verbal communication. Additionally, assessment instruments can be used to assist in </w:t>
      </w:r>
      <w:r>
        <w:t>better understanding the severity of Jane’s pr</w:t>
      </w:r>
      <w:r>
        <w:t xml:space="preserve">esenting problems and help to determine appropriate treatment approaches and necessary levels of care. Here are a few assessment tools that would be appropriate during </w:t>
      </w:r>
      <w:proofErr w:type="gramStart"/>
      <w:r>
        <w:t>Janes</w:t>
      </w:r>
      <w:proofErr w:type="gramEnd"/>
      <w:r>
        <w:t xml:space="preserve"> assessment;</w:t>
      </w:r>
    </w:p>
    <w:p w:rsidR="00846999" w:rsidRDefault="00C20F33">
      <w:pPr>
        <w:ind w:left="7" w:right="273"/>
      </w:pPr>
      <w:r>
        <w:t>-The Clinical Global Impression Scale for Borderline Personality Disor</w:t>
      </w:r>
      <w:r>
        <w:t xml:space="preserve">der Patients (CGI‐BPD) The CGI-BPD scale is an adaptation of the Clinical Global Impression (CGI) scale designed to assess the severity and post-intervention changes in patients with Borderline Personality </w:t>
      </w:r>
    </w:p>
    <w:p w:rsidR="00846999" w:rsidRDefault="00C20F33">
      <w:pPr>
        <w:spacing w:after="236" w:line="259" w:lineRule="auto"/>
        <w:ind w:left="7" w:right="273"/>
      </w:pPr>
      <w:r>
        <w:t>Disorder (BPD) (</w:t>
      </w:r>
      <w:proofErr w:type="spellStart"/>
      <w:proofErr w:type="gramStart"/>
      <w:r>
        <w:rPr>
          <w:color w:val="303030"/>
        </w:rPr>
        <w:t>Zanarini</w:t>
      </w:r>
      <w:proofErr w:type="spellEnd"/>
      <w:r>
        <w:rPr>
          <w:color w:val="303030"/>
        </w:rPr>
        <w:t>.,</w:t>
      </w:r>
      <w:proofErr w:type="gramEnd"/>
      <w:r>
        <w:rPr>
          <w:color w:val="303030"/>
        </w:rPr>
        <w:t xml:space="preserve"> 2003)</w:t>
      </w:r>
      <w:r>
        <w:t xml:space="preserve">. </w:t>
      </w:r>
    </w:p>
    <w:p w:rsidR="00846999" w:rsidRDefault="00C20F33">
      <w:pPr>
        <w:ind w:left="7" w:right="273"/>
      </w:pPr>
      <w:r>
        <w:t>- Beck Scale f</w:t>
      </w:r>
      <w:r>
        <w:t>or Suicidal Ideation (BSSI) is one of the most widely used instrument to assess suicidality in the client (</w:t>
      </w:r>
      <w:proofErr w:type="spellStart"/>
      <w:r>
        <w:rPr>
          <w:color w:val="303030"/>
        </w:rPr>
        <w:t>Esfahani</w:t>
      </w:r>
      <w:proofErr w:type="spellEnd"/>
      <w:r>
        <w:rPr>
          <w:color w:val="303030"/>
        </w:rPr>
        <w:t xml:space="preserve"> et al., 2013)</w:t>
      </w:r>
    </w:p>
    <w:p w:rsidR="00846999" w:rsidRDefault="00C20F33">
      <w:pPr>
        <w:spacing w:after="0"/>
        <w:ind w:left="7"/>
      </w:pPr>
      <w:r>
        <w:rPr>
          <w:color w:val="303030"/>
        </w:rPr>
        <w:t>-</w:t>
      </w:r>
      <w:r>
        <w:rPr>
          <w:color w:val="333333"/>
          <w:shd w:val="clear" w:color="auto" w:fill="FCFCFC"/>
        </w:rPr>
        <w:t>Beck Anxiety Inventory (BAI) as a severity indicator for anxiety in primary care patients with different anxiety disorders (</w:t>
      </w:r>
      <w:proofErr w:type="spellStart"/>
      <w:r>
        <w:rPr>
          <w:color w:val="333333"/>
          <w:shd w:val="clear" w:color="auto" w:fill="FCFCFC"/>
        </w:rPr>
        <w:t>M</w:t>
      </w:r>
      <w:r>
        <w:rPr>
          <w:color w:val="333333"/>
          <w:shd w:val="clear" w:color="auto" w:fill="FCFCFC"/>
        </w:rPr>
        <w:t>untingh</w:t>
      </w:r>
      <w:proofErr w:type="spellEnd"/>
      <w:r>
        <w:rPr>
          <w:color w:val="333333"/>
          <w:shd w:val="clear" w:color="auto" w:fill="FCFCFC"/>
        </w:rPr>
        <w:t xml:space="preserve"> et al., 2011).</w:t>
      </w:r>
    </w:p>
    <w:p w:rsidR="00846999" w:rsidRDefault="00C20F33">
      <w:pPr>
        <w:spacing w:after="0"/>
        <w:ind w:left="7"/>
      </w:pPr>
      <w:r>
        <w:t xml:space="preserve">-The Global Assessment of Functioning Scale (GAF) or the Social Functioning Questionnaire. </w:t>
      </w:r>
      <w:r>
        <w:rPr>
          <w:color w:val="333333"/>
          <w:shd w:val="clear" w:color="auto" w:fill="FCFCFC"/>
        </w:rPr>
        <w:t xml:space="preserve">Global Assessment of Functioning (GAF) is well known internationally and widely used for scoring </w:t>
      </w:r>
      <w:r>
        <w:rPr>
          <w:color w:val="333333"/>
          <w:shd w:val="clear" w:color="auto" w:fill="FCFCFC"/>
        </w:rPr>
        <w:lastRenderedPageBreak/>
        <w:t>a range from positive mental health to severe psychopathology, is an overall (global) measure of how patients are doing (</w:t>
      </w:r>
      <w:proofErr w:type="spellStart"/>
      <w:r>
        <w:rPr>
          <w:color w:val="333333"/>
          <w:shd w:val="clear" w:color="auto" w:fill="FCFCFC"/>
        </w:rPr>
        <w:t>Aas</w:t>
      </w:r>
      <w:proofErr w:type="spellEnd"/>
      <w:r>
        <w:rPr>
          <w:color w:val="333333"/>
          <w:shd w:val="clear" w:color="auto" w:fill="FCFCFC"/>
        </w:rPr>
        <w:t>., 2010).</w:t>
      </w:r>
    </w:p>
    <w:p w:rsidR="00846999" w:rsidRDefault="00C20F33">
      <w:pPr>
        <w:spacing w:after="0"/>
        <w:ind w:left="7"/>
      </w:pPr>
      <w:r>
        <w:rPr>
          <w:color w:val="333333"/>
          <w:shd w:val="clear" w:color="auto" w:fill="FCFCFC"/>
        </w:rPr>
        <w:t>These scales have been se</w:t>
      </w:r>
      <w:r>
        <w:rPr>
          <w:color w:val="333333"/>
          <w:shd w:val="clear" w:color="auto" w:fill="FCFCFC"/>
        </w:rPr>
        <w:t xml:space="preserve">lected as they measure overarching issues of anxiety, poor social global function and possible suicidal ideation that Jane presents with when initiating counselling. </w:t>
      </w:r>
    </w:p>
    <w:p w:rsidR="00846999" w:rsidRDefault="00C20F33">
      <w:pPr>
        <w:pStyle w:val="Heading2"/>
        <w:ind w:left="7"/>
      </w:pPr>
      <w:r>
        <w:t>Necessary Level of Care</w:t>
      </w:r>
    </w:p>
    <w:p w:rsidR="00846999" w:rsidRDefault="00C20F33">
      <w:pPr>
        <w:ind w:left="-3" w:right="273" w:firstLine="720"/>
      </w:pPr>
      <w:r>
        <w:t>Based on the assessment of Jane, counsellors must ensure she is r</w:t>
      </w:r>
      <w:r>
        <w:t xml:space="preserve">eferred to a medical doctor or psychiatrist for appropriate interventions. This assessment would be to determine if </w:t>
      </w:r>
    </w:p>
    <w:p w:rsidR="00846999" w:rsidRDefault="00C20F33">
      <w:pPr>
        <w:ind w:left="7" w:right="273"/>
      </w:pPr>
      <w:r>
        <w:t>Jane requires pharmacological intervention and any possible inpatient or outpatient program.  Due to Jane’s past history of threatening sui</w:t>
      </w:r>
      <w:r>
        <w:t>cide, it is important that all primary caregivers are aware of her ongoing dysfunction and are able to intervene if required. Jane may also benefit from a social worker or care coordinator to assist her in obtaining social support to find appropriate housi</w:t>
      </w:r>
      <w:r>
        <w:t xml:space="preserve">ng, employment and finally to be a support for Jane during a crisis. </w:t>
      </w:r>
    </w:p>
    <w:p w:rsidR="00846999" w:rsidRDefault="00C20F33">
      <w:pPr>
        <w:pStyle w:val="Heading2"/>
        <w:ind w:left="7"/>
      </w:pPr>
      <w:r>
        <w:t>Strengths</w:t>
      </w:r>
    </w:p>
    <w:p w:rsidR="00846999" w:rsidRDefault="00C20F33">
      <w:pPr>
        <w:spacing w:after="236" w:line="259" w:lineRule="auto"/>
        <w:ind w:left="0" w:right="552" w:firstLine="0"/>
        <w:jc w:val="right"/>
      </w:pPr>
      <w:r>
        <w:t xml:space="preserve">Identifying Jane’s strength is an important component of her case conceptualization as </w:t>
      </w:r>
    </w:p>
    <w:p w:rsidR="00846999" w:rsidRDefault="00C20F33">
      <w:pPr>
        <w:spacing w:after="236" w:line="259" w:lineRule="auto"/>
        <w:ind w:left="7" w:right="273"/>
      </w:pPr>
      <w:proofErr w:type="gramStart"/>
      <w:r>
        <w:t>counsellors</w:t>
      </w:r>
      <w:proofErr w:type="gramEnd"/>
      <w:r>
        <w:t xml:space="preserve"> will utilize these strengths to assist her in the process of change (Kress.,</w:t>
      </w:r>
      <w:r>
        <w:t xml:space="preserve"> </w:t>
      </w:r>
      <w:proofErr w:type="spellStart"/>
      <w:r>
        <w:t>n.d</w:t>
      </w:r>
      <w:proofErr w:type="spellEnd"/>
      <w:r>
        <w:t xml:space="preserve">). </w:t>
      </w:r>
    </w:p>
    <w:p w:rsidR="00846999" w:rsidRDefault="00C20F33">
      <w:pPr>
        <w:ind w:left="-3" w:right="273" w:firstLine="720"/>
      </w:pPr>
      <w:r>
        <w:t xml:space="preserve">Jane demonstrates strengths such as resilience, capacity for empathy, passionate, social, and is spontaneous. Although Jane demonstrates some challenges in these areas they serve as a framework for development and growth. </w:t>
      </w:r>
    </w:p>
    <w:p w:rsidR="00846999" w:rsidRDefault="00C20F33">
      <w:pPr>
        <w:ind w:left="-3" w:right="273" w:firstLine="720"/>
      </w:pPr>
      <w:r>
        <w:t>Jane continues to reach o</w:t>
      </w:r>
      <w:r>
        <w:t xml:space="preserve">ut to people and seek socialization demonstrating resilience, coping and a desire for connection. Finally, Jane shows aspirations to change by seeking counselling and revealing personal and painful details about her life. </w:t>
      </w:r>
    </w:p>
    <w:p w:rsidR="00846999" w:rsidRDefault="00C20F33">
      <w:pPr>
        <w:pStyle w:val="Heading2"/>
        <w:ind w:left="7"/>
      </w:pPr>
      <w:r>
        <w:lastRenderedPageBreak/>
        <w:t>Treatment Approach</w:t>
      </w:r>
    </w:p>
    <w:p w:rsidR="00846999" w:rsidRDefault="00C20F33">
      <w:pPr>
        <w:spacing w:after="0"/>
        <w:ind w:left="12" w:right="53" w:firstLine="0"/>
      </w:pPr>
      <w:r>
        <w:t xml:space="preserve">Gestalt therapy would be an appropriate approach to use in the case of Jane. </w:t>
      </w:r>
      <w:r>
        <w:rPr>
          <w:color w:val="2C2D30"/>
        </w:rPr>
        <w:t>Gestalt therapy is a client-</w:t>
      </w:r>
      <w:proofErr w:type="spellStart"/>
      <w:r>
        <w:rPr>
          <w:color w:val="2C2D30"/>
        </w:rPr>
        <w:t>centred</w:t>
      </w:r>
      <w:proofErr w:type="spellEnd"/>
      <w:r>
        <w:rPr>
          <w:color w:val="2C2D30"/>
        </w:rPr>
        <w:t xml:space="preserve"> approach that would assist Jane to focus on the now gaining understanding of what is really happening in her life presently, rather than what s</w:t>
      </w:r>
      <w:r>
        <w:rPr>
          <w:color w:val="2C2D30"/>
        </w:rPr>
        <w:t>he may perceive to be happening based on her past experience (Steward-Spencer</w:t>
      </w:r>
      <w:proofErr w:type="gramStart"/>
      <w:r>
        <w:rPr>
          <w:color w:val="2C2D30"/>
        </w:rPr>
        <w:t>,.</w:t>
      </w:r>
      <w:proofErr w:type="spellStart"/>
      <w:proofErr w:type="gramEnd"/>
      <w:r>
        <w:rPr>
          <w:color w:val="2C2D30"/>
        </w:rPr>
        <w:t>n.d</w:t>
      </w:r>
      <w:proofErr w:type="spellEnd"/>
      <w:r>
        <w:rPr>
          <w:color w:val="2C2D30"/>
        </w:rPr>
        <w:t xml:space="preserve">). This approach will guide Jane toward </w:t>
      </w:r>
      <w:r w:rsidR="00C67F04">
        <w:rPr>
          <w:color w:val="2C2D30"/>
        </w:rPr>
        <w:t>self-awareness</w:t>
      </w:r>
      <w:r>
        <w:rPr>
          <w:color w:val="2C2D30"/>
        </w:rPr>
        <w:t xml:space="preserve"> and balance between awareness of the current environment and awareness of self. Having Jane explore unresolved emotions </w:t>
      </w:r>
      <w:r w:rsidR="00C67F04">
        <w:rPr>
          <w:color w:val="2C2D30"/>
        </w:rPr>
        <w:t>and improve overall awareness</w:t>
      </w:r>
      <w:r>
        <w:rPr>
          <w:color w:val="2C2D30"/>
        </w:rPr>
        <w:t xml:space="preserve"> that will lead to positive change and enable Jane to move forward developing positive self-regard (</w:t>
      </w:r>
      <w:proofErr w:type="spellStart"/>
      <w:r>
        <w:rPr>
          <w:color w:val="2C2D30"/>
        </w:rPr>
        <w:t>StewartSpencer</w:t>
      </w:r>
      <w:proofErr w:type="spellEnd"/>
      <w:r>
        <w:rPr>
          <w:color w:val="2C2D30"/>
        </w:rPr>
        <w:t>.</w:t>
      </w:r>
      <w:proofErr w:type="gramStart"/>
      <w:r>
        <w:rPr>
          <w:color w:val="2C2D30"/>
        </w:rPr>
        <w:t>,</w:t>
      </w:r>
      <w:proofErr w:type="spellStart"/>
      <w:r>
        <w:rPr>
          <w:color w:val="2C2D30"/>
        </w:rPr>
        <w:t>n.d</w:t>
      </w:r>
      <w:proofErr w:type="spellEnd"/>
      <w:proofErr w:type="gramEnd"/>
      <w:r>
        <w:rPr>
          <w:color w:val="2C2D30"/>
        </w:rPr>
        <w:t xml:space="preserve">) </w:t>
      </w:r>
    </w:p>
    <w:p w:rsidR="00846999" w:rsidRDefault="00C20F33">
      <w:pPr>
        <w:pStyle w:val="Heading2"/>
        <w:ind w:left="7"/>
      </w:pPr>
      <w:r>
        <w:t>Summary</w:t>
      </w:r>
    </w:p>
    <w:p w:rsidR="00846999" w:rsidRDefault="00C20F33">
      <w:pPr>
        <w:spacing w:after="1804"/>
        <w:ind w:left="12" w:right="273" w:hanging="720"/>
      </w:pPr>
      <w:r>
        <w:t xml:space="preserve">            A case conceptualization has been developed for Jane who presents with host dysfunct</w:t>
      </w:r>
      <w:r>
        <w:t>ion and lack of awareness. Case conceptualization is an evolving process as clients become increasingly familiar with presenting issues and counsellors gain a better understanding of the client. As Jane and the counsellors work collaboratively to set goals</w:t>
      </w:r>
      <w:r>
        <w:t>, objectives and potential interventions they both will deepen their understanding of Jane’s issues (Kress.</w:t>
      </w:r>
      <w:proofErr w:type="gramStart"/>
      <w:r>
        <w:t>,</w:t>
      </w:r>
      <w:proofErr w:type="spellStart"/>
      <w:r>
        <w:t>n.d</w:t>
      </w:r>
      <w:proofErr w:type="spellEnd"/>
      <w:proofErr w:type="gramEnd"/>
      <w:r>
        <w:t xml:space="preserve">). The goal of the treatment is to move Jane closer to self-actualization and living a more functional and fulfilling life. </w:t>
      </w:r>
    </w:p>
    <w:p w:rsidR="00846999" w:rsidRDefault="00C20F33">
      <w:pPr>
        <w:spacing w:after="0" w:line="259" w:lineRule="auto"/>
        <w:ind w:left="12" w:firstLine="0"/>
      </w:pPr>
      <w:r>
        <w:rPr>
          <w:color w:val="3A3A3A"/>
          <w:sz w:val="20"/>
        </w:rPr>
        <w:t>,</w:t>
      </w:r>
      <w:r>
        <w:br w:type="page"/>
      </w:r>
    </w:p>
    <w:p w:rsidR="00846999" w:rsidRDefault="00C20F33">
      <w:pPr>
        <w:pStyle w:val="Heading3"/>
      </w:pPr>
      <w:r>
        <w:lastRenderedPageBreak/>
        <w:t>References</w:t>
      </w:r>
    </w:p>
    <w:p w:rsidR="00846999" w:rsidRDefault="00C20F33">
      <w:pPr>
        <w:ind w:left="7" w:right="273"/>
      </w:pPr>
      <w:proofErr w:type="spellStart"/>
      <w:r>
        <w:t>Aas</w:t>
      </w:r>
      <w:proofErr w:type="spellEnd"/>
      <w:r>
        <w:t>, I</w:t>
      </w:r>
      <w:r>
        <w:t xml:space="preserve">.M. Global Assessment of Functioning (GAF): properties and frontier of current knowledge (2010). </w:t>
      </w:r>
      <w:r>
        <w:rPr>
          <w:i/>
        </w:rPr>
        <w:t>Ann Gen Psychiatry</w:t>
      </w:r>
      <w:r>
        <w:t xml:space="preserve"> 9, 20. https://doi.org/10.1186/1744-859X-9-</w:t>
      </w:r>
      <w:proofErr w:type="gramStart"/>
      <w:r>
        <w:t xml:space="preserve">20  </w:t>
      </w:r>
      <w:proofErr w:type="spellStart"/>
      <w:r>
        <w:t>Boulton</w:t>
      </w:r>
      <w:proofErr w:type="spellEnd"/>
      <w:proofErr w:type="gramEnd"/>
      <w:r>
        <w:t>, E. M., &amp; Davis, E. (2019). The Relationship between Empathy and Theoretical Orientat</w:t>
      </w:r>
      <w:r>
        <w:t xml:space="preserve">ion of Counselors-in-training. </w:t>
      </w:r>
      <w:r>
        <w:rPr>
          <w:i/>
        </w:rPr>
        <w:t>Journal of Counselor Preparation &amp; Supervision</w:t>
      </w:r>
      <w:r>
        <w:t xml:space="preserve">, </w:t>
      </w:r>
      <w:r>
        <w:rPr>
          <w:i/>
        </w:rPr>
        <w:t>12</w:t>
      </w:r>
      <w:r>
        <w:t>(4), 1–26.</w:t>
      </w:r>
    </w:p>
    <w:p w:rsidR="00846999" w:rsidRDefault="00C20F33">
      <w:pPr>
        <w:spacing w:after="236" w:line="259" w:lineRule="auto"/>
        <w:ind w:left="7" w:right="273"/>
      </w:pPr>
      <w:r>
        <w:t xml:space="preserve">Davis, T. A., </w:t>
      </w:r>
      <w:proofErr w:type="spellStart"/>
      <w:r>
        <w:t>Ancis</w:t>
      </w:r>
      <w:proofErr w:type="spellEnd"/>
      <w:r>
        <w:t xml:space="preserve">, J. R., &amp; Ashby, J. S. (2015). Therapist effects, working alliance, and African </w:t>
      </w:r>
    </w:p>
    <w:p w:rsidR="00846999" w:rsidRDefault="00C20F33">
      <w:pPr>
        <w:spacing w:after="236" w:line="259" w:lineRule="auto"/>
        <w:ind w:left="727"/>
      </w:pPr>
      <w:r>
        <w:t xml:space="preserve">American women substance users. </w:t>
      </w:r>
      <w:r>
        <w:rPr>
          <w:i/>
        </w:rPr>
        <w:t>Cultural Diversity and Ethnic M</w:t>
      </w:r>
      <w:r>
        <w:rPr>
          <w:i/>
        </w:rPr>
        <w:t>inority Psychology</w:t>
      </w:r>
      <w:r>
        <w:t xml:space="preserve">, </w:t>
      </w:r>
    </w:p>
    <w:p w:rsidR="00846999" w:rsidRDefault="00C20F33">
      <w:pPr>
        <w:spacing w:after="236" w:line="259" w:lineRule="auto"/>
        <w:ind w:left="742" w:right="273"/>
      </w:pPr>
      <w:r>
        <w:rPr>
          <w:i/>
        </w:rPr>
        <w:t>21</w:t>
      </w:r>
      <w:r>
        <w:t>(1), 126–135. https://doi.org/10.1037/a0036944</w:t>
      </w:r>
    </w:p>
    <w:p w:rsidR="00846999" w:rsidRDefault="00C20F33">
      <w:pPr>
        <w:ind w:left="717" w:right="273" w:hanging="720"/>
      </w:pPr>
      <w:proofErr w:type="spellStart"/>
      <w:r>
        <w:t>Esfahani</w:t>
      </w:r>
      <w:proofErr w:type="spellEnd"/>
      <w:r>
        <w:t xml:space="preserve">, M., </w:t>
      </w:r>
      <w:proofErr w:type="spellStart"/>
      <w:r>
        <w:t>Hashemi</w:t>
      </w:r>
      <w:proofErr w:type="spellEnd"/>
      <w:r>
        <w:t xml:space="preserve">, Y., &amp; </w:t>
      </w:r>
      <w:proofErr w:type="spellStart"/>
      <w:r>
        <w:t>Alavi</w:t>
      </w:r>
      <w:proofErr w:type="spellEnd"/>
      <w:r>
        <w:t xml:space="preserve">, K. (2015). Psychometric assessment of beck scale for suicidal ideation (BSSI) in general population in Tehran. </w:t>
      </w:r>
      <w:r>
        <w:rPr>
          <w:i/>
        </w:rPr>
        <w:t xml:space="preserve">Medical journal of the Islamic </w:t>
      </w:r>
    </w:p>
    <w:p w:rsidR="00846999" w:rsidRDefault="00C20F33">
      <w:pPr>
        <w:spacing w:after="236" w:line="259" w:lineRule="auto"/>
        <w:ind w:left="727"/>
      </w:pPr>
      <w:r>
        <w:rPr>
          <w:i/>
        </w:rPr>
        <w:t>Republi</w:t>
      </w:r>
      <w:r>
        <w:rPr>
          <w:i/>
        </w:rPr>
        <w:t>c of Iran</w:t>
      </w:r>
      <w:r>
        <w:t xml:space="preserve">, </w:t>
      </w:r>
      <w:r>
        <w:rPr>
          <w:i/>
        </w:rPr>
        <w:t>29</w:t>
      </w:r>
      <w:r>
        <w:t>, 268.</w:t>
      </w:r>
    </w:p>
    <w:p w:rsidR="00846999" w:rsidRDefault="00C20F33">
      <w:pPr>
        <w:ind w:left="717" w:right="273" w:hanging="720"/>
      </w:pPr>
      <w:proofErr w:type="spellStart"/>
      <w:r>
        <w:t>Ivtzan</w:t>
      </w:r>
      <w:proofErr w:type="spellEnd"/>
      <w:r>
        <w:t xml:space="preserve">, I., Redman, E., &amp; Gardner, H. (2012). Gender role and empathy within different orientations of counselling psychology. </w:t>
      </w:r>
      <w:r>
        <w:rPr>
          <w:i/>
        </w:rPr>
        <w:t>Counselling Psychology Quarterly</w:t>
      </w:r>
      <w:r>
        <w:t xml:space="preserve">, </w:t>
      </w:r>
      <w:r>
        <w:rPr>
          <w:i/>
        </w:rPr>
        <w:t>25</w:t>
      </w:r>
      <w:r>
        <w:t>(4), 377–</w:t>
      </w:r>
    </w:p>
    <w:p w:rsidR="00846999" w:rsidRDefault="00C20F33">
      <w:pPr>
        <w:spacing w:after="236" w:line="259" w:lineRule="auto"/>
        <w:ind w:left="742" w:right="273"/>
      </w:pPr>
      <w:r>
        <w:t>388. https://doi.org/10.1080/09515070.2012.711520</w:t>
      </w:r>
    </w:p>
    <w:p w:rsidR="00846999" w:rsidRDefault="00C20F33">
      <w:pPr>
        <w:spacing w:after="236" w:line="259" w:lineRule="auto"/>
        <w:ind w:left="7" w:right="273"/>
      </w:pPr>
      <w:proofErr w:type="spellStart"/>
      <w:r>
        <w:t>Kress</w:t>
      </w:r>
      <w:proofErr w:type="gramStart"/>
      <w:r>
        <w:t>,V</w:t>
      </w:r>
      <w:proofErr w:type="spellEnd"/>
      <w:proofErr w:type="gramEnd"/>
      <w:r>
        <w:t>. (Hos</w:t>
      </w:r>
      <w:r>
        <w:t>t). (</w:t>
      </w:r>
      <w:proofErr w:type="spellStart"/>
      <w:r>
        <w:t>n.d.</w:t>
      </w:r>
      <w:proofErr w:type="spellEnd"/>
      <w:r>
        <w:t xml:space="preserve">). Case conceptualization: Level 3a [Video]. In </w:t>
      </w:r>
      <w:r>
        <w:rPr>
          <w:i/>
        </w:rPr>
        <w:t>MACP Skills Learning Lab</w:t>
      </w:r>
      <w:r>
        <w:t xml:space="preserve">. </w:t>
      </w:r>
    </w:p>
    <w:p w:rsidR="00846999" w:rsidRDefault="00C20F33">
      <w:pPr>
        <w:spacing w:after="236" w:line="259" w:lineRule="auto"/>
        <w:ind w:left="727"/>
      </w:pPr>
      <w:r>
        <w:t xml:space="preserve">Yorkville University. </w:t>
      </w:r>
      <w:hyperlink r:id="rId6">
        <w:r>
          <w:rPr>
            <w:color w:val="0000FF"/>
            <w:u w:val="single" w:color="0000FF"/>
          </w:rPr>
          <w:t>https://courses.yorkvilleu</w:t>
        </w:r>
        <w:r>
          <w:rPr>
            <w:color w:val="0000FF"/>
            <w:u w:val="single" w:color="0000FF"/>
          </w:rPr>
          <w:t>.ca/iSpring/MACP/Skills-Learning-</w:t>
        </w:r>
      </w:hyperlink>
    </w:p>
    <w:p w:rsidR="00846999" w:rsidRDefault="00C20F33">
      <w:pPr>
        <w:spacing w:after="236" w:line="259" w:lineRule="auto"/>
        <w:ind w:left="727"/>
      </w:pPr>
      <w:hyperlink r:id="rId7">
        <w:r>
          <w:rPr>
            <w:color w:val="0000FF"/>
            <w:u w:val="single" w:color="0000FF"/>
          </w:rPr>
          <w:t>Lab/Modules/Case-Conceptualization/story.html</w:t>
        </w:r>
      </w:hyperlink>
    </w:p>
    <w:p w:rsidR="00846999" w:rsidRDefault="00C20F33">
      <w:pPr>
        <w:ind w:left="717" w:right="273" w:hanging="720"/>
      </w:pPr>
      <w:proofErr w:type="spellStart"/>
      <w:r>
        <w:t>McMain</w:t>
      </w:r>
      <w:proofErr w:type="spellEnd"/>
      <w:r>
        <w:t xml:space="preserve">, S. F., </w:t>
      </w:r>
      <w:proofErr w:type="spellStart"/>
      <w:r>
        <w:t>Boritz</w:t>
      </w:r>
      <w:proofErr w:type="spellEnd"/>
      <w:r>
        <w:t>, T. Z., &amp;</w:t>
      </w:r>
      <w:r>
        <w:t xml:space="preserve"> </w:t>
      </w:r>
      <w:proofErr w:type="spellStart"/>
      <w:r>
        <w:t>Leybman</w:t>
      </w:r>
      <w:proofErr w:type="spellEnd"/>
      <w:r>
        <w:t xml:space="preserve">, M. J. (2015). Common strategies for cultivating a positive therapy relationship in the treatment of borderline personality disorder. </w:t>
      </w:r>
      <w:r>
        <w:rPr>
          <w:i/>
        </w:rPr>
        <w:t>Journal of Psychotherapy Integration</w:t>
      </w:r>
      <w:r>
        <w:t xml:space="preserve">, </w:t>
      </w:r>
      <w:r>
        <w:rPr>
          <w:i/>
        </w:rPr>
        <w:t>25</w:t>
      </w:r>
      <w:r>
        <w:t>(1), 20–29. https://doi.org/10.1037/a0038768</w:t>
      </w:r>
    </w:p>
    <w:p w:rsidR="00846999" w:rsidRDefault="00C20F33">
      <w:pPr>
        <w:spacing w:after="236" w:line="259" w:lineRule="auto"/>
        <w:ind w:left="7" w:right="273"/>
      </w:pPr>
      <w:proofErr w:type="spellStart"/>
      <w:r>
        <w:t>Muntingh</w:t>
      </w:r>
      <w:proofErr w:type="spellEnd"/>
      <w:r>
        <w:t xml:space="preserve">, A.D., van der </w:t>
      </w:r>
      <w:proofErr w:type="spellStart"/>
      <w:r>
        <w:t>Felt</w:t>
      </w:r>
      <w:r>
        <w:t>z-Cornelis</w:t>
      </w:r>
      <w:proofErr w:type="spellEnd"/>
      <w:r>
        <w:t xml:space="preserve">, C.M., van </w:t>
      </w:r>
      <w:proofErr w:type="spellStart"/>
      <w:r>
        <w:t>Marwijk</w:t>
      </w:r>
      <w:proofErr w:type="spellEnd"/>
      <w:r>
        <w:t xml:space="preserve">, H.W. et al. (2011). Is the beck anxiety inventory a good tool to assess the severity of anxiety? A primary care study in </w:t>
      </w:r>
    </w:p>
    <w:p w:rsidR="00846999" w:rsidRDefault="00C20F33">
      <w:pPr>
        <w:ind w:left="742" w:right="273"/>
      </w:pPr>
      <w:r>
        <w:lastRenderedPageBreak/>
        <w:t xml:space="preserve">The Netherlands study of depression and anxiety (NESDA). </w:t>
      </w:r>
      <w:r>
        <w:rPr>
          <w:i/>
        </w:rPr>
        <w:t xml:space="preserve">BMC </w:t>
      </w:r>
      <w:proofErr w:type="gramStart"/>
      <w:r>
        <w:rPr>
          <w:i/>
        </w:rPr>
        <w:t>Fam</w:t>
      </w:r>
      <w:proofErr w:type="gramEnd"/>
      <w:r>
        <w:rPr>
          <w:i/>
        </w:rPr>
        <w:t xml:space="preserve"> </w:t>
      </w:r>
      <w:proofErr w:type="spellStart"/>
      <w:r>
        <w:rPr>
          <w:i/>
        </w:rPr>
        <w:t>Pract</w:t>
      </w:r>
      <w:proofErr w:type="spellEnd"/>
      <w:r>
        <w:t xml:space="preserve"> 12, 66. https://doi.org/10.1186/</w:t>
      </w:r>
      <w:r>
        <w:t>1471-2296-12-66</w:t>
      </w:r>
    </w:p>
    <w:p w:rsidR="00846999" w:rsidRDefault="00C20F33">
      <w:pPr>
        <w:ind w:left="717" w:right="273" w:hanging="720"/>
      </w:pPr>
      <w:r>
        <w:t xml:space="preserve">Proctor, C., Tweed, R. G., &amp; Morris, D. B. (2020). Unconditional positive self-regard: The role of perceived parental conditional regard. </w:t>
      </w:r>
      <w:r>
        <w:rPr>
          <w:i/>
        </w:rPr>
        <w:t>The Humanistic Psychologist</w:t>
      </w:r>
      <w:r>
        <w:t xml:space="preserve">. </w:t>
      </w:r>
    </w:p>
    <w:p w:rsidR="00846999" w:rsidRDefault="00C20F33">
      <w:pPr>
        <w:spacing w:after="236" w:line="259" w:lineRule="auto"/>
        <w:ind w:left="742" w:right="273"/>
      </w:pPr>
      <w:r>
        <w:t>https://doi.org/10.1037/hum0000168</w:t>
      </w:r>
    </w:p>
    <w:p w:rsidR="00846999" w:rsidRDefault="00C20F33">
      <w:pPr>
        <w:spacing w:after="236" w:line="259" w:lineRule="auto"/>
        <w:ind w:left="7" w:right="273"/>
      </w:pPr>
      <w:r>
        <w:t>Purton, C. (2013). Incongruence and “</w:t>
      </w:r>
      <w:r>
        <w:t xml:space="preserve">inner experience.” </w:t>
      </w:r>
      <w:r>
        <w:rPr>
          <w:i/>
        </w:rPr>
        <w:t xml:space="preserve">Person-Centered &amp; Experiential </w:t>
      </w:r>
    </w:p>
    <w:p w:rsidR="00846999" w:rsidRDefault="00C20F33">
      <w:pPr>
        <w:spacing w:after="236" w:line="259" w:lineRule="auto"/>
        <w:ind w:left="742" w:right="273"/>
      </w:pPr>
      <w:r>
        <w:rPr>
          <w:i/>
        </w:rPr>
        <w:t>Psychotherapies</w:t>
      </w:r>
      <w:r>
        <w:t xml:space="preserve">, </w:t>
      </w:r>
      <w:r>
        <w:rPr>
          <w:i/>
        </w:rPr>
        <w:t>12</w:t>
      </w:r>
      <w:r>
        <w:t>(3), 187–199. https://doi.org/10.1080/14779757.2013.840670</w:t>
      </w:r>
    </w:p>
    <w:p w:rsidR="00846999" w:rsidRDefault="00C20F33">
      <w:pPr>
        <w:spacing w:after="236" w:line="259" w:lineRule="auto"/>
        <w:ind w:left="12" w:firstLine="0"/>
      </w:pPr>
      <w:r>
        <w:rPr>
          <w:color w:val="3A3A3A"/>
        </w:rPr>
        <w:t xml:space="preserve">Schultz, D. P., &amp; Schultz, S. E. (2017). </w:t>
      </w:r>
      <w:r>
        <w:rPr>
          <w:i/>
          <w:color w:val="3A3A3A"/>
        </w:rPr>
        <w:t xml:space="preserve">Theories of personality </w:t>
      </w:r>
      <w:r>
        <w:rPr>
          <w:color w:val="3A3A3A"/>
        </w:rPr>
        <w:t xml:space="preserve">(11th </w:t>
      </w:r>
      <w:proofErr w:type="gramStart"/>
      <w:r>
        <w:rPr>
          <w:color w:val="3A3A3A"/>
        </w:rPr>
        <w:t>ed</w:t>
      </w:r>
      <w:proofErr w:type="gramEnd"/>
      <w:r>
        <w:rPr>
          <w:color w:val="3A3A3A"/>
        </w:rPr>
        <w:t>.). Wadsworth.</w:t>
      </w:r>
    </w:p>
    <w:p w:rsidR="00846999" w:rsidRDefault="00C20F33">
      <w:pPr>
        <w:spacing w:after="236" w:line="259" w:lineRule="auto"/>
        <w:ind w:left="7" w:right="273"/>
      </w:pPr>
      <w:r>
        <w:t>Stewart-Spencer, E</w:t>
      </w:r>
      <w:proofErr w:type="gramStart"/>
      <w:r>
        <w:t>.(</w:t>
      </w:r>
      <w:proofErr w:type="gramEnd"/>
      <w:r>
        <w:t>Host). (</w:t>
      </w:r>
      <w:proofErr w:type="spellStart"/>
      <w:r>
        <w:t>n.d.</w:t>
      </w:r>
      <w:proofErr w:type="spellEnd"/>
      <w:r>
        <w:t>)Case c</w:t>
      </w:r>
      <w:r>
        <w:t xml:space="preserve">onceptualization: Gestalt Therapy Summarized. [Video]. </w:t>
      </w:r>
    </w:p>
    <w:p w:rsidR="00846999" w:rsidRDefault="00C20F33">
      <w:pPr>
        <w:spacing w:after="0"/>
        <w:ind w:left="727"/>
      </w:pPr>
      <w:r>
        <w:t xml:space="preserve">In </w:t>
      </w:r>
      <w:r>
        <w:rPr>
          <w:i/>
        </w:rPr>
        <w:t>MACP Skills Learning Lab</w:t>
      </w:r>
      <w:r>
        <w:t xml:space="preserve">. Yorkville University. </w:t>
      </w:r>
      <w:hyperlink r:id="rId8">
        <w:r>
          <w:rPr>
            <w:color w:val="0000FF"/>
            <w:u w:val="single" w:color="0000FF"/>
          </w:rPr>
          <w:t>https://courses.yorkville</w:t>
        </w:r>
        <w:r>
          <w:rPr>
            <w:color w:val="0000FF"/>
            <w:u w:val="single" w:color="0000FF"/>
          </w:rPr>
          <w:t>u.ca/iSpring/MACP/Skills-Learning-Lab/Modules/Case-</w:t>
        </w:r>
      </w:hyperlink>
    </w:p>
    <w:p w:rsidR="00846999" w:rsidRDefault="00C20F33">
      <w:pPr>
        <w:spacing w:after="236" w:line="259" w:lineRule="auto"/>
        <w:ind w:left="727"/>
      </w:pPr>
      <w:hyperlink r:id="rId9">
        <w:r>
          <w:rPr>
            <w:color w:val="0000FF"/>
            <w:u w:val="single" w:color="0000FF"/>
          </w:rPr>
          <w:t>Conceptualization/story.html</w:t>
        </w:r>
      </w:hyperlink>
    </w:p>
    <w:p w:rsidR="00846999" w:rsidRDefault="00C20F33">
      <w:pPr>
        <w:spacing w:after="236" w:line="259" w:lineRule="auto"/>
        <w:ind w:left="7" w:right="273"/>
      </w:pPr>
      <w:proofErr w:type="spellStart"/>
      <w:r>
        <w:t>Storebø</w:t>
      </w:r>
      <w:proofErr w:type="spellEnd"/>
      <w:r>
        <w:t xml:space="preserve">, O. J., </w:t>
      </w:r>
      <w:proofErr w:type="spellStart"/>
      <w:r>
        <w:t>Stoffers‐Winterling</w:t>
      </w:r>
      <w:proofErr w:type="spellEnd"/>
      <w:r>
        <w:t xml:space="preserve">, J. M., </w:t>
      </w:r>
      <w:proofErr w:type="spellStart"/>
      <w:r>
        <w:t>Völlm</w:t>
      </w:r>
      <w:proofErr w:type="spellEnd"/>
      <w:r>
        <w:t xml:space="preserve">, </w:t>
      </w:r>
      <w:r>
        <w:t xml:space="preserve">B. A., </w:t>
      </w:r>
      <w:proofErr w:type="spellStart"/>
      <w:r>
        <w:t>Kongerslev</w:t>
      </w:r>
      <w:proofErr w:type="spellEnd"/>
      <w:r>
        <w:t xml:space="preserve">, M. T., </w:t>
      </w:r>
      <w:proofErr w:type="spellStart"/>
      <w:r>
        <w:t>Mattivi</w:t>
      </w:r>
      <w:proofErr w:type="spellEnd"/>
      <w:r>
        <w:t xml:space="preserve">, J. T., </w:t>
      </w:r>
    </w:p>
    <w:p w:rsidR="00846999" w:rsidRDefault="00C20F33">
      <w:pPr>
        <w:ind w:left="742" w:right="273"/>
      </w:pPr>
      <w:proofErr w:type="spellStart"/>
      <w:r>
        <w:t>Kielsholm</w:t>
      </w:r>
      <w:proofErr w:type="spellEnd"/>
      <w:r>
        <w:t xml:space="preserve">, M. L., Nielsen, S. S., </w:t>
      </w:r>
      <w:proofErr w:type="spellStart"/>
      <w:r>
        <w:t>Jørgensen</w:t>
      </w:r>
      <w:proofErr w:type="spellEnd"/>
      <w:r>
        <w:t xml:space="preserve">, M. P., </w:t>
      </w:r>
      <w:proofErr w:type="spellStart"/>
      <w:r>
        <w:t>Faltinsen</w:t>
      </w:r>
      <w:proofErr w:type="spellEnd"/>
      <w:r>
        <w:t xml:space="preserve">, E. G., </w:t>
      </w:r>
      <w:proofErr w:type="spellStart"/>
      <w:r>
        <w:t>Lieb</w:t>
      </w:r>
      <w:proofErr w:type="spellEnd"/>
      <w:r>
        <w:t xml:space="preserve">, K., &amp; </w:t>
      </w:r>
      <w:proofErr w:type="spellStart"/>
      <w:r>
        <w:t>Simonsen</w:t>
      </w:r>
      <w:proofErr w:type="spellEnd"/>
      <w:r>
        <w:t xml:space="preserve">, E. (2018). Psychological therapies for people with borderline personality disorder. </w:t>
      </w:r>
      <w:r>
        <w:rPr>
          <w:i/>
        </w:rPr>
        <w:t>The Cochrane Database of Systematic R</w:t>
      </w:r>
      <w:r>
        <w:rPr>
          <w:i/>
        </w:rPr>
        <w:t>eviews</w:t>
      </w:r>
      <w:r>
        <w:t xml:space="preserve">, </w:t>
      </w:r>
      <w:r>
        <w:rPr>
          <w:i/>
        </w:rPr>
        <w:t>2018</w:t>
      </w:r>
      <w:r>
        <w:t xml:space="preserve">(2), CD012955. </w:t>
      </w:r>
    </w:p>
    <w:p w:rsidR="00846999" w:rsidRDefault="00C20F33">
      <w:pPr>
        <w:spacing w:after="236" w:line="259" w:lineRule="auto"/>
        <w:ind w:left="727"/>
      </w:pPr>
      <w:hyperlink r:id="rId10">
        <w:r>
          <w:rPr>
            <w:color w:val="0000FF"/>
            <w:u w:val="single" w:color="0000FF"/>
          </w:rPr>
          <w:t>https://doi.org/10.1002/14651858.CD012955</w:t>
        </w:r>
      </w:hyperlink>
    </w:p>
    <w:p w:rsidR="00846999" w:rsidRDefault="00C20F33">
      <w:pPr>
        <w:spacing w:after="236" w:line="259" w:lineRule="auto"/>
        <w:ind w:left="7" w:right="273"/>
      </w:pPr>
      <w:r>
        <w:t xml:space="preserve">Thorne, B., &amp; Sanders, P. (2013). </w:t>
      </w:r>
      <w:r>
        <w:rPr>
          <w:i/>
        </w:rPr>
        <w:t>Carl Rogers</w:t>
      </w:r>
      <w:r>
        <w:t xml:space="preserve"> (3rd </w:t>
      </w:r>
      <w:proofErr w:type="gramStart"/>
      <w:r>
        <w:t>ed</w:t>
      </w:r>
      <w:proofErr w:type="gramEnd"/>
      <w:r>
        <w:t xml:space="preserve">.). SAGE. </w:t>
      </w:r>
    </w:p>
    <w:p w:rsidR="00846999" w:rsidRDefault="00C20F33">
      <w:pPr>
        <w:spacing w:after="236" w:line="259" w:lineRule="auto"/>
        <w:ind w:left="7" w:right="273"/>
      </w:pPr>
      <w:proofErr w:type="spellStart"/>
      <w:r>
        <w:t>Zanarini</w:t>
      </w:r>
      <w:proofErr w:type="spellEnd"/>
      <w:r>
        <w:t xml:space="preserve">, M. C. (2003). </w:t>
      </w:r>
      <w:proofErr w:type="spellStart"/>
      <w:r>
        <w:t>Zanarini</w:t>
      </w:r>
      <w:proofErr w:type="spellEnd"/>
      <w:r>
        <w:t xml:space="preserve"> Rating Scale </w:t>
      </w:r>
      <w:proofErr w:type="gramStart"/>
      <w:r>
        <w:t>For</w:t>
      </w:r>
      <w:proofErr w:type="gramEnd"/>
      <w:r>
        <w:t xml:space="preserve"> Borderline </w:t>
      </w:r>
      <w:r>
        <w:t xml:space="preserve">Personality Disorder (ZAN-BPD): </w:t>
      </w:r>
    </w:p>
    <w:p w:rsidR="00846999" w:rsidRDefault="00C20F33">
      <w:pPr>
        <w:spacing w:after="236" w:line="259" w:lineRule="auto"/>
        <w:ind w:left="742" w:right="273"/>
      </w:pPr>
      <w:r>
        <w:t xml:space="preserve">A Continuous Measure of DSM-IV Borderline Psychopathology. </w:t>
      </w:r>
      <w:r>
        <w:rPr>
          <w:i/>
        </w:rPr>
        <w:t xml:space="preserve">Journal of Personality </w:t>
      </w:r>
    </w:p>
    <w:p w:rsidR="00846999" w:rsidRDefault="00C20F33">
      <w:pPr>
        <w:spacing w:line="259" w:lineRule="auto"/>
        <w:ind w:left="742" w:right="273"/>
      </w:pPr>
      <w:r>
        <w:rPr>
          <w:i/>
        </w:rPr>
        <w:t>Disorders</w:t>
      </w:r>
      <w:r>
        <w:t xml:space="preserve">, </w:t>
      </w:r>
      <w:r>
        <w:rPr>
          <w:i/>
        </w:rPr>
        <w:t>17</w:t>
      </w:r>
      <w:r>
        <w:t xml:space="preserve">(3), 233–242. https://doi.org/10.1521/pedi.17.3.233.22147 </w:t>
      </w:r>
    </w:p>
    <w:sectPr w:rsidR="00846999">
      <w:headerReference w:type="even" r:id="rId11"/>
      <w:headerReference w:type="default" r:id="rId12"/>
      <w:headerReference w:type="first" r:id="rId13"/>
      <w:pgSz w:w="12240" w:h="15840"/>
      <w:pgMar w:top="1447" w:right="1245" w:bottom="1980" w:left="1430" w:header="727"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F33" w:rsidRDefault="00C20F33">
      <w:pPr>
        <w:spacing w:after="0" w:line="240" w:lineRule="auto"/>
      </w:pPr>
      <w:r>
        <w:separator/>
      </w:r>
    </w:p>
  </w:endnote>
  <w:endnote w:type="continuationSeparator" w:id="0">
    <w:p w:rsidR="00C20F33" w:rsidRDefault="00C20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F33" w:rsidRDefault="00C20F33">
      <w:pPr>
        <w:spacing w:after="0" w:line="240" w:lineRule="auto"/>
      </w:pPr>
      <w:r>
        <w:separator/>
      </w:r>
    </w:p>
  </w:footnote>
  <w:footnote w:type="continuationSeparator" w:id="0">
    <w:p w:rsidR="00C20F33" w:rsidRDefault="00C20F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999" w:rsidRDefault="00C20F33">
    <w:pPr>
      <w:spacing w:after="0" w:line="259" w:lineRule="auto"/>
      <w:ind w:left="0" w:right="191" w:firstLine="0"/>
      <w:jc w:val="right"/>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999" w:rsidRDefault="00846999">
    <w:pPr>
      <w:spacing w:after="0" w:line="259" w:lineRule="auto"/>
      <w:ind w:left="0" w:right="191"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999" w:rsidRDefault="00C20F33">
    <w:pPr>
      <w:spacing w:after="0" w:line="259" w:lineRule="auto"/>
      <w:ind w:left="0" w:right="191" w:firstLine="0"/>
      <w:jc w:val="right"/>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999"/>
    <w:rsid w:val="00150773"/>
    <w:rsid w:val="00846999"/>
    <w:rsid w:val="00C20F33"/>
    <w:rsid w:val="00C67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9448DB-153F-47F7-8280-BBB81E496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55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2"/>
      <w:outlineLvl w:val="0"/>
    </w:pPr>
    <w:rPr>
      <w:rFonts w:ascii="Calibri" w:eastAsia="Calibri" w:hAnsi="Calibri" w:cs="Calibri"/>
      <w:b/>
      <w:color w:val="3A3A3A"/>
      <w:sz w:val="24"/>
    </w:rPr>
  </w:style>
  <w:style w:type="paragraph" w:styleId="Heading2">
    <w:name w:val="heading 2"/>
    <w:next w:val="Normal"/>
    <w:link w:val="Heading2Char"/>
    <w:uiPriority w:val="9"/>
    <w:unhideWhenUsed/>
    <w:qFormat/>
    <w:pPr>
      <w:keepNext/>
      <w:keepLines/>
      <w:spacing w:after="233"/>
      <w:ind w:left="22" w:hanging="10"/>
      <w:outlineLvl w:val="1"/>
    </w:pPr>
    <w:rPr>
      <w:rFonts w:ascii="Calibri" w:eastAsia="Calibri" w:hAnsi="Calibri" w:cs="Calibri"/>
      <w:b/>
      <w:color w:val="000000"/>
      <w:sz w:val="24"/>
    </w:rPr>
  </w:style>
  <w:style w:type="paragraph" w:styleId="Heading3">
    <w:name w:val="heading 3"/>
    <w:next w:val="Normal"/>
    <w:link w:val="Heading3Char"/>
    <w:uiPriority w:val="9"/>
    <w:unhideWhenUsed/>
    <w:qFormat/>
    <w:pPr>
      <w:keepNext/>
      <w:keepLines/>
      <w:spacing w:after="232"/>
      <w:ind w:right="181"/>
      <w:jc w:val="center"/>
      <w:outlineLvl w:val="2"/>
    </w:pPr>
    <w:rPr>
      <w:rFonts w:ascii="Calibri" w:eastAsia="Calibri" w:hAnsi="Calibri" w:cs="Calibri"/>
      <w:b/>
      <w:color w:val="3A3A3A"/>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3A3A3A"/>
      <w:sz w:val="20"/>
    </w:rPr>
  </w:style>
  <w:style w:type="character" w:customStyle="1" w:styleId="Heading2Char">
    <w:name w:val="Heading 2 Char"/>
    <w:link w:val="Heading2"/>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3A3A3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courses.yorkvilleu.ca/iSpring/MACP/Skills-Learning-Lab/Modules/Case-Conceptualization/story.html"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courses.yorkvilleu.ca/iSpring/MACP/Skills-Learning-Lab/Modules/Case-Conceptualization/story.html"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urses.yorkvilleu.ca/iSpring/MACP/Skills-Learning-Lab/Modules/Case-Conceptualization/story.html"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doi.org/10.1002/14651858.CD012955" TargetMode="External"/><Relationship Id="rId4" Type="http://schemas.openxmlformats.org/officeDocument/2006/relationships/footnotes" Target="footnotes.xml"/><Relationship Id="rId9" Type="http://schemas.openxmlformats.org/officeDocument/2006/relationships/hyperlink" Target="https://courses.yorkvilleu.ca/iSpring/MACP/Skills-Learning-Lab/Modules/Case-Conceptualization/story.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2559</Words>
  <Characters>14589</Characters>
  <Application>Microsoft Office Word</Application>
  <DocSecurity>0</DocSecurity>
  <Lines>121</Lines>
  <Paragraphs>34</Paragraphs>
  <ScaleCrop>false</ScaleCrop>
  <Company/>
  <LinksUpToDate>false</LinksUpToDate>
  <CharactersWithSpaces>17114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dc:creator>
  <cp:keywords/>
  <cp:lastModifiedBy>Microsoft account</cp:lastModifiedBy>
  <cp:revision>3</cp:revision>
  <dcterms:created xsi:type="dcterms:W3CDTF">2022-06-02T09:00:00Z</dcterms:created>
  <dcterms:modified xsi:type="dcterms:W3CDTF">2022-06-02T09:01:00Z</dcterms:modified>
</cp:coreProperties>
</file>