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6341C" w:rsidRDefault="00416F33">
      <w:pPr>
        <w:spacing w:after="1426" w:line="259" w:lineRule="auto"/>
        <w:ind w:left="510" w:right="-511" w:firstLine="0"/>
      </w:pPr>
      <w:r>
        <w:rPr>
          <w:rFonts w:ascii="Arial" w:eastAsia="Arial" w:hAnsi="Arial" w:cs="Arial"/>
        </w:rPr>
        <w:t xml:space="preserve"> </w:t>
      </w:r>
    </w:p>
    <w:p w:rsidR="00C6341C" w:rsidRDefault="00416F33">
      <w:pPr>
        <w:spacing w:after="51" w:line="259" w:lineRule="auto"/>
        <w:ind w:left="1029" w:firstLine="0"/>
        <w:jc w:val="center"/>
      </w:pPr>
      <w:bookmarkStart w:id="0" w:name="_GoBack"/>
      <w:r>
        <w:rPr>
          <w:b/>
          <w:sz w:val="40"/>
        </w:rPr>
        <w:t>BUSINESS LAW</w:t>
      </w:r>
    </w:p>
    <w:bookmarkEnd w:id="0"/>
    <w:p w:rsidR="00C6341C" w:rsidRDefault="00416F33">
      <w:pPr>
        <w:spacing w:after="241" w:line="259" w:lineRule="auto"/>
        <w:ind w:left="1031" w:firstLine="0"/>
        <w:jc w:val="center"/>
      </w:pPr>
      <w:r>
        <w:rPr>
          <w:sz w:val="28"/>
        </w:rPr>
        <w:t>COURSE CODE: 1001</w:t>
      </w:r>
    </w:p>
    <w:p w:rsidR="00C6341C" w:rsidRDefault="00416F33">
      <w:pPr>
        <w:spacing w:after="684" w:line="256" w:lineRule="auto"/>
        <w:ind w:left="1023" w:firstLine="0"/>
      </w:pPr>
      <w:r>
        <w:t xml:space="preserve">Explain Sarah’s legal position under general contract law (with reference to authority but </w:t>
      </w:r>
      <w:r>
        <w:rPr>
          <w:shd w:val="clear" w:color="auto" w:fill="FFFF00"/>
        </w:rPr>
        <w:t>ignoring the Sale of Goods Act 1979</w:t>
      </w:r>
      <w:r>
        <w:t>) and detail what remedies might be available to her.</w:t>
      </w:r>
    </w:p>
    <w:p w:rsidR="00C6341C" w:rsidRDefault="00416F33">
      <w:pPr>
        <w:ind w:left="1018"/>
      </w:pPr>
      <w:r>
        <w:t xml:space="preserve">The dispute between </w:t>
      </w:r>
      <w:r>
        <w:rPr>
          <w:i/>
        </w:rPr>
        <w:t>Sarah</w:t>
      </w:r>
      <w:r>
        <w:t xml:space="preserve"> and </w:t>
      </w:r>
      <w:r>
        <w:rPr>
          <w:i/>
        </w:rPr>
        <w:t>Melody Instruments Ltd</w:t>
      </w:r>
      <w:r>
        <w:t xml:space="preserve"> is one that contains a number of discrepancies and requires a great deal of judgment. The details of the case can be interpreted in different ways and this can present </w:t>
      </w:r>
      <w:r>
        <w:rPr>
          <w:i/>
        </w:rPr>
        <w:t xml:space="preserve">Sarah </w:t>
      </w:r>
      <w:r>
        <w:t>with a number of different le</w:t>
      </w:r>
      <w:r>
        <w:t>gal positions pertaining to different aspects of the formation of the contract, the terms and conditions of that contract and the execution or enforcement of those terms. These various interpretations will determine the remedies (if any) available to eithe</w:t>
      </w:r>
      <w:r>
        <w:t>r party. The most obvious outcome is the one that I will examine in the most detail.</w:t>
      </w:r>
    </w:p>
    <w:p w:rsidR="00C6341C" w:rsidRDefault="00416F33">
      <w:pPr>
        <w:ind w:left="1018"/>
      </w:pPr>
      <w:r>
        <w:t xml:space="preserve">Firstly, to explain what constitutes a contract </w:t>
      </w:r>
      <w:proofErr w:type="spellStart"/>
      <w:r>
        <w:t>MacRoberts</w:t>
      </w:r>
      <w:proofErr w:type="spellEnd"/>
      <w:r>
        <w:t xml:space="preserve"> (2008) states that a contract is simply an </w:t>
      </w:r>
      <w:proofErr w:type="gramStart"/>
      <w:r>
        <w:t>agreement</w:t>
      </w:r>
      <w:proofErr w:type="gramEnd"/>
      <w:r>
        <w:t xml:space="preserve">, expressed either in writing or verbally, between a number </w:t>
      </w:r>
      <w:r>
        <w:t>of parties, regarding the same subject matter. A contract can therefore only be formed on the basis of offer and acceptance. An offer can only be accepted under the following three conditions; (1) it must be made in response to the offer; (2) it must match</w:t>
      </w:r>
      <w:r>
        <w:t xml:space="preserve"> the terms of the offer; and (3) it must be communicated to the </w:t>
      </w:r>
      <w:proofErr w:type="spellStart"/>
      <w:r>
        <w:t>offerer</w:t>
      </w:r>
      <w:proofErr w:type="spellEnd"/>
      <w:r>
        <w:t xml:space="preserve"> (Willett &amp; O’Donnell, 1996). In the scenario above, </w:t>
      </w:r>
      <w:r>
        <w:rPr>
          <w:i/>
        </w:rPr>
        <w:t>Sarah</w:t>
      </w:r>
      <w:r>
        <w:t xml:space="preserve"> is aware of the price and makes a verbal counteroffer, which takes some convincing, but is then accepted by salesman </w:t>
      </w:r>
      <w:r>
        <w:rPr>
          <w:i/>
        </w:rPr>
        <w:t>M</w:t>
      </w:r>
      <w:r>
        <w:t>, who is</w:t>
      </w:r>
      <w:r>
        <w:t xml:space="preserve"> trying to create business relations. Here we clearly have the formation of a contract, so the next logical juxtaposition is whether or not the contract is enforceable.  </w:t>
      </w:r>
    </w:p>
    <w:p w:rsidR="00C6341C" w:rsidRDefault="00416F33">
      <w:pPr>
        <w:ind w:left="1018"/>
      </w:pPr>
      <w:r>
        <w:t xml:space="preserve">Prior to the acceptance of Sarah’s offer, M makes a number of statements which Sarah </w:t>
      </w:r>
      <w:r>
        <w:t xml:space="preserve">could argue, induced her into the purchase of the piano. In this case if any of these statements fail to be true, Sarah could have a claim against M for misrepresentation and the contract could be invalid. This is </w:t>
      </w:r>
      <w:r>
        <w:lastRenderedPageBreak/>
        <w:t>due to the fact that where a statement mad</w:t>
      </w:r>
      <w:r>
        <w:t>e during the course of negotiations is categorized as a representation rather than merely a point of reference or a term, an act for misrepresentation may be plausible if the statement turns out to be untrue (MacMillan, 1997). The action for finding misrep</w:t>
      </w:r>
      <w:r>
        <w:t>resentation is that the contract can be set aside by the innocent party, or in other words it is voidable, and Sarah will have a number of self-help remedies available to her. (Black, 2011)</w:t>
      </w:r>
    </w:p>
    <w:p w:rsidR="00C6341C" w:rsidRDefault="00416F33">
      <w:pPr>
        <w:ind w:left="1018"/>
      </w:pPr>
      <w:r>
        <w:t xml:space="preserve">Under the </w:t>
      </w:r>
      <w:r>
        <w:rPr>
          <w:b/>
        </w:rPr>
        <w:t>Unfair Contract Terms Act 1977</w:t>
      </w:r>
      <w:r>
        <w:t>, there are four condition</w:t>
      </w:r>
      <w:r>
        <w:t xml:space="preserve">s under which a contract can be deemed invalid on the grounds of misrepresentation; firstly, the statement must be made by the other contracting party or on his behalf, which is the case in this scenario. </w:t>
      </w:r>
    </w:p>
    <w:p w:rsidR="00C6341C" w:rsidRDefault="00416F33">
      <w:pPr>
        <w:ind w:left="1018"/>
      </w:pPr>
      <w:r>
        <w:t>Secondly it must be a misleading statement of fact</w:t>
      </w:r>
      <w:r>
        <w:t xml:space="preserve">, and M presented Sarah with a number of misleading statements of fact which will now be discussed. </w:t>
      </w:r>
      <w:r>
        <w:rPr>
          <w:i/>
        </w:rPr>
        <w:t>M</w:t>
      </w:r>
      <w:r>
        <w:t xml:space="preserve"> may argue that when he claimed that the piano had been tested, he did not say if it was recommended also or if the reviews of the testing were good or bad</w:t>
      </w:r>
      <w:r>
        <w:t xml:space="preserve">, but if one was to conduct an objective test, one would see that any reasonable person would say that he mentioned this fact with a deliberate intention to deceive and to induce the implied idea that the reviews of the tests were good. This is clearly an </w:t>
      </w:r>
      <w:r>
        <w:t xml:space="preserve">induced error, whether it was innocent or not, it was crucial to the formation of the contract and </w:t>
      </w:r>
      <w:r>
        <w:rPr>
          <w:i/>
        </w:rPr>
        <w:t xml:space="preserve">Sarah </w:t>
      </w:r>
      <w:r>
        <w:t xml:space="preserve">entered into this contract subject to the mistaken belief because of what </w:t>
      </w:r>
      <w:r>
        <w:rPr>
          <w:i/>
        </w:rPr>
        <w:t xml:space="preserve">M </w:t>
      </w:r>
      <w:r>
        <w:t xml:space="preserve">said. </w:t>
      </w:r>
    </w:p>
    <w:p w:rsidR="00C6341C" w:rsidRDefault="00416F33">
      <w:pPr>
        <w:ind w:left="1018"/>
      </w:pPr>
      <w:r>
        <w:t>Thirdly, the statement must induce the contract, and inasmuch as Sar</w:t>
      </w:r>
      <w:r>
        <w:t xml:space="preserve">ah liked the sound of the piano, the statement about the testing goes to the heart of the contract. On the other hand, the statement where </w:t>
      </w:r>
      <w:r>
        <w:rPr>
          <w:i/>
        </w:rPr>
        <w:t>M</w:t>
      </w:r>
      <w:r>
        <w:t xml:space="preserve"> says that the piano is really reliable and suitable for rough students with its new </w:t>
      </w:r>
      <w:proofErr w:type="spellStart"/>
      <w:r>
        <w:t>Reflon</w:t>
      </w:r>
      <w:proofErr w:type="spellEnd"/>
      <w:r>
        <w:t xml:space="preserve"> keys, can be seen as an </w:t>
      </w:r>
      <w:r>
        <w:t xml:space="preserve">induction to buy, but Sarah says she does not care about the </w:t>
      </w:r>
      <w:proofErr w:type="spellStart"/>
      <w:r>
        <w:t>Reflon</w:t>
      </w:r>
      <w:proofErr w:type="spellEnd"/>
      <w:r>
        <w:t xml:space="preserve">, so this cannot be seen as an essential error because according to Lord Watson in </w:t>
      </w:r>
      <w:r>
        <w:rPr>
          <w:i/>
        </w:rPr>
        <w:t>Menzies vs. Menzies</w:t>
      </w:r>
      <w:r>
        <w:t xml:space="preserve"> (1893) an error becomes essential when it is shown that </w:t>
      </w:r>
      <w:r>
        <w:rPr>
          <w:i/>
        </w:rPr>
        <w:t xml:space="preserve">but for </w:t>
      </w:r>
      <w:r>
        <w:t xml:space="preserve">it one of the parties </w:t>
      </w:r>
      <w:r>
        <w:t>would have declined the contract, and it is likely that regardless of this piece of information, Sarah still would have bought the piano. And lastly, the intention to mislead or deceive will determine the remedies available to Sarah in this case. (Black, 2</w:t>
      </w:r>
      <w:r>
        <w:t>011)</w:t>
      </w:r>
    </w:p>
    <w:p w:rsidR="00C6341C" w:rsidRDefault="00416F33">
      <w:pPr>
        <w:ind w:left="1018"/>
      </w:pPr>
      <w:r>
        <w:lastRenderedPageBreak/>
        <w:t xml:space="preserve">The fact that the good is defaulted and not fit for all purposes for which goods of the kind in question are commonly supplied is a factor of the </w:t>
      </w:r>
      <w:r>
        <w:rPr>
          <w:b/>
        </w:rPr>
        <w:t>Sales of Goods Act 1979</w:t>
      </w:r>
      <w:r>
        <w:t xml:space="preserve"> therefore we will negate this piece of information for the sake of the question.</w:t>
      </w:r>
    </w:p>
    <w:p w:rsidR="00C6341C" w:rsidRDefault="00416F33">
      <w:pPr>
        <w:ind w:left="1018"/>
      </w:pPr>
      <w:r>
        <w:t xml:space="preserve">One of the characteristics of Lord </w:t>
      </w:r>
      <w:proofErr w:type="spellStart"/>
      <w:r>
        <w:t>Herschell’s</w:t>
      </w:r>
      <w:proofErr w:type="spellEnd"/>
      <w:r>
        <w:t xml:space="preserve"> definition of misrepresentation, following the </w:t>
      </w:r>
      <w:r>
        <w:rPr>
          <w:i/>
        </w:rPr>
        <w:t xml:space="preserve">Derry vs. Peek (1889) </w:t>
      </w:r>
      <w:r>
        <w:t xml:space="preserve">case, which is particularly applicable to our present scenario was that if a statement was ‘recklessly careless as to whether it be true or </w:t>
      </w:r>
      <w:r>
        <w:t>false’,  then the innocent party may have a claim for misrepresentation. This is definitely the case for M’s statement about the testing of the pianos. Therefore, basing Sarah’s legal position off of this definition, it is likely to be found that the state</w:t>
      </w:r>
      <w:r>
        <w:t>ments by M</w:t>
      </w:r>
      <w:r>
        <w:rPr>
          <w:i/>
        </w:rPr>
        <w:t xml:space="preserve"> </w:t>
      </w:r>
      <w:r>
        <w:t>were fraudulent, and induced an essential error.</w:t>
      </w:r>
    </w:p>
    <w:p w:rsidR="00C6341C" w:rsidRDefault="00416F33">
      <w:pPr>
        <w:spacing w:after="0"/>
        <w:ind w:left="1018"/>
      </w:pPr>
      <w:r>
        <w:t xml:space="preserve">The belief by Sarah that she was entitled to one year service for the piano, was crucial to the formation of the contract, because </w:t>
      </w:r>
      <w:r>
        <w:rPr>
          <w:i/>
        </w:rPr>
        <w:t>but for it</w:t>
      </w:r>
      <w:r>
        <w:t>, the contract wouldn’t have been formed. Sarah therefo</w:t>
      </w:r>
      <w:r>
        <w:t>re has the right to the self-help remedy of rescission, she can contact her credit card company and cancel the payment, thus refusing to perform her side of the contract and the contract would immediately be void. The credit card company may even share a p</w:t>
      </w:r>
      <w:r>
        <w:t>ortion of the liability, which I will discuss in more detail later on. She would then have to return the goods in the specified period of time that the contract states.</w:t>
      </w:r>
    </w:p>
    <w:p w:rsidR="00C6341C" w:rsidRDefault="00416F33">
      <w:pPr>
        <w:spacing w:after="0" w:line="259" w:lineRule="auto"/>
        <w:ind w:left="1023" w:firstLine="0"/>
      </w:pPr>
      <w:r>
        <w:t xml:space="preserve"> </w:t>
      </w:r>
    </w:p>
    <w:p w:rsidR="00C6341C" w:rsidRDefault="00416F33">
      <w:pPr>
        <w:ind w:left="1018"/>
      </w:pPr>
      <w:r>
        <w:t>However, in this case it is also possible that the statements induced a material error, which would be found using an objective test, and the contract would only be voidable. The burden of proof essentially lies on Sarah so she would have to prove that the</w:t>
      </w:r>
      <w:r>
        <w:t xml:space="preserve"> statement made in fact did induce her to purchase the piano. </w:t>
      </w:r>
    </w:p>
    <w:p w:rsidR="00C6341C" w:rsidRDefault="00416F33">
      <w:pPr>
        <w:ind w:left="1018"/>
      </w:pPr>
      <w:r>
        <w:t xml:space="preserve">The question of damages for </w:t>
      </w:r>
      <w:r>
        <w:rPr>
          <w:i/>
        </w:rPr>
        <w:t xml:space="preserve">Sarah </w:t>
      </w:r>
      <w:r>
        <w:t xml:space="preserve">is a tricky one, particularly for loss of earnings for the students she would have taught if the piano was up to the expected standard. One of the justifications for damages is that the loss must not be too remote. So </w:t>
      </w:r>
      <w:r>
        <w:rPr>
          <w:i/>
        </w:rPr>
        <w:t xml:space="preserve">M </w:t>
      </w:r>
      <w:r>
        <w:t xml:space="preserve">could comfortably argue that he had </w:t>
      </w:r>
      <w:r>
        <w:t xml:space="preserve">no idea that this was the only piano Sarah had, as this was not specified at the time of negotiation of the contract. It is more likely to be found that the statements made by </w:t>
      </w:r>
      <w:r>
        <w:rPr>
          <w:i/>
        </w:rPr>
        <w:t>M</w:t>
      </w:r>
      <w:r>
        <w:t xml:space="preserve"> were in fact fraudulent, they </w:t>
      </w:r>
      <w:r>
        <w:lastRenderedPageBreak/>
        <w:t>would have been made with a deliberate intention</w:t>
      </w:r>
      <w:r>
        <w:t xml:space="preserve"> to deceive, but all that would be available to Sarah is to return the goods and for her to receive her money back. All of the remedies are self-help remedies, they do not require judicial intervention.</w:t>
      </w:r>
    </w:p>
    <w:p w:rsidR="00C6341C" w:rsidRDefault="00416F33">
      <w:pPr>
        <w:ind w:left="1018"/>
      </w:pPr>
      <w:r>
        <w:t xml:space="preserve">Now, following on from this, </w:t>
      </w:r>
      <w:r>
        <w:rPr>
          <w:i/>
        </w:rPr>
        <w:t>M</w:t>
      </w:r>
      <w:r>
        <w:t xml:space="preserve"> claims that there is a</w:t>
      </w:r>
      <w:r>
        <w:t xml:space="preserve"> £1000 administration fee that Sarah would have to pay to return the piano. If we consider the case of </w:t>
      </w:r>
      <w:proofErr w:type="spellStart"/>
      <w:r>
        <w:rPr>
          <w:i/>
        </w:rPr>
        <w:t>Olley</w:t>
      </w:r>
      <w:proofErr w:type="spellEnd"/>
      <w:r>
        <w:rPr>
          <w:i/>
        </w:rPr>
        <w:t xml:space="preserve"> v Marlborough Court Hotel, (1949)</w:t>
      </w:r>
      <w:r>
        <w:t xml:space="preserve"> it is clear that binding terms of a contract must be brought to the attention of customer at the time of, or befo</w:t>
      </w:r>
      <w:r>
        <w:t>re the contract is concluded.</w:t>
      </w:r>
      <w:r>
        <w:t xml:space="preserve"> Now, considering that </w:t>
      </w:r>
      <w:r>
        <w:rPr>
          <w:i/>
        </w:rPr>
        <w:t>M</w:t>
      </w:r>
      <w:r>
        <w:t xml:space="preserve"> is only the head of sales and not the manager, it is highly unlikely that the transaction took place in the manager’s office, so therefore one can assume that the details of this fee were not presented </w:t>
      </w:r>
      <w:r>
        <w:t>to Sarah prior to or at the time of the contract being entered into, therefore, she is not bound by these terms and they cannot be imposed upon her, so she does not have to pay this fee, so long as she returns the piano within the stated period of time, 25</w:t>
      </w:r>
      <w:r>
        <w:t xml:space="preserve"> days.</w:t>
      </w:r>
    </w:p>
    <w:p w:rsidR="00C6341C" w:rsidRDefault="00416F33">
      <w:pPr>
        <w:spacing w:after="646"/>
        <w:ind w:left="1018"/>
      </w:pPr>
      <w:r>
        <w:t xml:space="preserve">Now the final point of the scenario is when </w:t>
      </w:r>
      <w:r>
        <w:rPr>
          <w:i/>
        </w:rPr>
        <w:t xml:space="preserve">M </w:t>
      </w:r>
      <w:r>
        <w:t xml:space="preserve">claims that he has no obligation to the one year free service. For this situation one should consider the </w:t>
      </w:r>
      <w:proofErr w:type="spellStart"/>
      <w:r>
        <w:t>parol</w:t>
      </w:r>
      <w:proofErr w:type="spellEnd"/>
      <w:r>
        <w:t xml:space="preserve"> evidence rule, under which it was normally inept to present evidence of contract terms othe</w:t>
      </w:r>
      <w:r>
        <w:t>r than those contained in the written contract or the finished contractual agreement. This rule was abolished under section 1 of the Contract (Scotland) Act 1997.  Therefore, the extent to which this term can be enforced is dependent on two things; firstly</w:t>
      </w:r>
      <w:r>
        <w:t>, the burden of proof resting on Sarah to do so and secondly, whether or not the term was in fact promissory. Sarah can attempt to claim for breach of a collateral contract, so long as the terms she proposed do not contradict with any of the terms agreed i</w:t>
      </w:r>
      <w:r>
        <w:t>n the written contract, because her claim for a breach of contract (namely M’s failure to supply the agreed one year’s free service), fails strictly because the statement she relied upon was not held to be a term in the main contract according to M. Theref</w:t>
      </w:r>
      <w:r>
        <w:t>ore the real question comes down to whether or not this statement was promissory in nature, and if it was, can Sarah prove it.</w:t>
      </w:r>
    </w:p>
    <w:p w:rsidR="00C6341C" w:rsidRDefault="00416F33">
      <w:pPr>
        <w:ind w:left="1018"/>
      </w:pPr>
      <w:r>
        <w:lastRenderedPageBreak/>
        <w:t xml:space="preserve">As before mentioned, the </w:t>
      </w:r>
      <w:r>
        <w:rPr>
          <w:b/>
        </w:rPr>
        <w:t>Contract (Scotland) Act 1997</w:t>
      </w:r>
      <w:r>
        <w:t xml:space="preserve"> negated this parole evidence rule and states that extrinsic oral evidence s</w:t>
      </w:r>
      <w:r>
        <w:t xml:space="preserve">hall be admissible to prove for the purposes of an additional contract term, but Sarah would find it very difficult to prove that they agreed to the one year free service if it is not in the written contract. Moreover, if the written contract is signed to </w:t>
      </w:r>
      <w:r>
        <w:t>the effect that the document ‘</w:t>
      </w:r>
      <w:r>
        <w:rPr>
          <w:i/>
        </w:rPr>
        <w:t>contains all express terms or unilateral voluntary obligation</w:t>
      </w:r>
      <w:r>
        <w:t xml:space="preserve">, </w:t>
      </w:r>
      <w:r>
        <w:rPr>
          <w:i/>
        </w:rPr>
        <w:t>then that shall be conclusive in matter</w:t>
      </w:r>
      <w:r>
        <w:t>’ (The National Archives). M was aware of the conditional or qualified acceptance by Sarah, and even accepted it verbally, a</w:t>
      </w:r>
      <w:r>
        <w:t>nd the sale went ahead. Sarah was not aware if there was a clause in the contract that contained a term to that effect, so the asymmetry of information in this case has limited Sarah’s choice. So once again the burden of proof lies on Sarah to prove that t</w:t>
      </w:r>
      <w:r>
        <w:t xml:space="preserve">his servicing was part of the contract, even though it was not mentioned in the contract she signed. Essentially it will come down to her word against M’s unless she can prove it. She may take some hope from a case of </w:t>
      </w:r>
      <w:r>
        <w:rPr>
          <w:i/>
        </w:rPr>
        <w:t>Mann vs. Nunn</w:t>
      </w:r>
      <w:r>
        <w:t xml:space="preserve"> back in 1874 where it wa</w:t>
      </w:r>
      <w:r>
        <w:t>s found that a written agreement failed to refer to an earlier oral promise and the oral promise was enforced, but the promise was proven. (30 LT 526)</w:t>
      </w:r>
    </w:p>
    <w:p w:rsidR="00C6341C" w:rsidRDefault="00416F33">
      <w:pPr>
        <w:ind w:left="1018"/>
      </w:pPr>
      <w:r>
        <w:t xml:space="preserve">It is unlikely that the court will rule in Sarah’s </w:t>
      </w:r>
      <w:proofErr w:type="spellStart"/>
      <w:r>
        <w:t>favour</w:t>
      </w:r>
      <w:proofErr w:type="spellEnd"/>
      <w:r>
        <w:t xml:space="preserve"> as the onus was on her to ensure that such an i</w:t>
      </w:r>
      <w:r>
        <w:t>mportant condition (from her perspective) was put into writing when entering into the contract, for her own protection. As alluded to before, Sarah did take some precautionary measures when paying for the piano as she paid by credit card, and under section</w:t>
      </w:r>
      <w:r>
        <w:t xml:space="preserve"> 75 of the </w:t>
      </w:r>
      <w:r>
        <w:rPr>
          <w:b/>
        </w:rPr>
        <w:t>Consumer Credit Act 1974</w:t>
      </w:r>
      <w:r>
        <w:t xml:space="preserve">, </w:t>
      </w:r>
    </w:p>
    <w:p w:rsidR="00C6341C" w:rsidRDefault="00416F33">
      <w:pPr>
        <w:spacing w:after="0" w:line="452" w:lineRule="auto"/>
        <w:ind w:left="1018"/>
      </w:pPr>
      <w:r>
        <w:rPr>
          <w:i/>
        </w:rPr>
        <w:t>If the debtor has, in relation to a transaction financed by the agreement, any claim against the supplier in respect of a misrepresentation or breach of contract, he shall have a like claim against the creditor, who, w</w:t>
      </w:r>
      <w:r>
        <w:rPr>
          <w:i/>
        </w:rPr>
        <w:t xml:space="preserve">ith the supplier, shall accordingly be jointly and severally liable to the debtor. </w:t>
      </w:r>
    </w:p>
    <w:p w:rsidR="00C6341C" w:rsidRDefault="00416F33">
      <w:pPr>
        <w:spacing w:after="595" w:line="452" w:lineRule="auto"/>
        <w:ind w:left="1018"/>
      </w:pPr>
      <w:r>
        <w:rPr>
          <w:i/>
        </w:rPr>
        <w:t>(Section 75, Consumer Credit Act 1974)</w:t>
      </w:r>
    </w:p>
    <w:p w:rsidR="00C6341C" w:rsidRDefault="00416F33">
      <w:pPr>
        <w:ind w:left="1018"/>
      </w:pPr>
      <w:r>
        <w:t>So, if M starts to ignore Sarah, she can simultaneously put in a claim to her credit card company stating that Melody instruments Ltd</w:t>
      </w:r>
      <w:r>
        <w:t xml:space="preserve"> misrepresented the piano she purchased and she can claim her credit back. As long as her purchase meets a number of qualifications (which it actually does) she </w:t>
      </w:r>
      <w:r>
        <w:lastRenderedPageBreak/>
        <w:t>will have a claim for misrepresentation. Her credit card company will have the right to include</w:t>
      </w:r>
      <w:r>
        <w:t xml:space="preserve"> the supplier, namely Melody Instruments Ltd, in the proceedings. (The National Archives)</w:t>
      </w:r>
    </w:p>
    <w:p w:rsidR="00C6341C" w:rsidRDefault="00416F33">
      <w:pPr>
        <w:ind w:left="1018"/>
      </w:pPr>
      <w:r>
        <w:t xml:space="preserve">It is unfortunate for Sarah as this is clearly the reason the contract was entered into by her, under the qualification of the one year’s fee service, and we can see </w:t>
      </w:r>
      <w:r>
        <w:t>that she probably would have bought another piano if she knew that M would not live up to his word, so one could argue that there was no consensus in idem, if M chooses to deny knowledge of the service.</w:t>
      </w:r>
    </w:p>
    <w:p w:rsidR="00C6341C" w:rsidRDefault="00416F33">
      <w:pPr>
        <w:ind w:left="1018"/>
      </w:pPr>
      <w:r>
        <w:t>Despite the fact of the one year’s free service, it i</w:t>
      </w:r>
      <w:r>
        <w:t>s unlikely that Sarah will keep the piano anyway due to the research she did and the information she found out about the piano. She then has the right to return the goods for a full refund, without having to pay the £1000 administration fee and she can tak</w:t>
      </w:r>
      <w:r>
        <w:t>e her business elsewhere.</w:t>
      </w:r>
    </w:p>
    <w:p w:rsidR="00C6341C" w:rsidRDefault="00416F33">
      <w:pPr>
        <w:spacing w:after="114" w:line="259" w:lineRule="auto"/>
        <w:ind w:left="1023" w:firstLine="0"/>
      </w:pPr>
      <w:r>
        <w:rPr>
          <w:b/>
          <w:i/>
          <w:u w:val="single" w:color="000000"/>
        </w:rPr>
        <w:t>Bibliography</w:t>
      </w:r>
    </w:p>
    <w:p w:rsidR="00C6341C" w:rsidRDefault="00416F33">
      <w:pPr>
        <w:numPr>
          <w:ilvl w:val="0"/>
          <w:numId w:val="1"/>
        </w:numPr>
        <w:spacing w:after="163" w:line="259" w:lineRule="auto"/>
        <w:ind w:hanging="360"/>
      </w:pPr>
      <w:r>
        <w:t xml:space="preserve">Black, G. (2011) </w:t>
      </w:r>
      <w:r>
        <w:rPr>
          <w:i/>
        </w:rPr>
        <w:t>Business Law in Scotland, 2</w:t>
      </w:r>
      <w:r>
        <w:rPr>
          <w:i/>
          <w:sz w:val="22"/>
          <w:vertAlign w:val="superscript"/>
        </w:rPr>
        <w:t>nd</w:t>
      </w:r>
      <w:r>
        <w:rPr>
          <w:i/>
        </w:rPr>
        <w:t xml:space="preserve"> Edition,</w:t>
      </w:r>
      <w:r>
        <w:t xml:space="preserve"> Edinburgh: W. Green</w:t>
      </w:r>
    </w:p>
    <w:p w:rsidR="00C6341C" w:rsidRDefault="00416F33">
      <w:pPr>
        <w:numPr>
          <w:ilvl w:val="0"/>
          <w:numId w:val="1"/>
        </w:numPr>
        <w:spacing w:after="0" w:line="370" w:lineRule="auto"/>
        <w:ind w:hanging="360"/>
      </w:pPr>
      <w:r>
        <w:t xml:space="preserve">MacMillan, M. &amp; </w:t>
      </w:r>
      <w:proofErr w:type="spellStart"/>
      <w:r>
        <w:t>Lambie</w:t>
      </w:r>
      <w:proofErr w:type="spellEnd"/>
      <w:r>
        <w:t xml:space="preserve">, S. (1997) </w:t>
      </w:r>
      <w:r>
        <w:rPr>
          <w:i/>
        </w:rPr>
        <w:t>Scottish Business Law, 3</w:t>
      </w:r>
      <w:r>
        <w:rPr>
          <w:i/>
          <w:sz w:val="22"/>
          <w:vertAlign w:val="superscript"/>
        </w:rPr>
        <w:t>rd</w:t>
      </w:r>
      <w:r>
        <w:rPr>
          <w:i/>
        </w:rPr>
        <w:t xml:space="preserve"> Edition</w:t>
      </w:r>
      <w:r>
        <w:t>, Harlow: Pearson Education Limited</w:t>
      </w:r>
    </w:p>
    <w:p w:rsidR="00C6341C" w:rsidRDefault="00416F33">
      <w:pPr>
        <w:numPr>
          <w:ilvl w:val="0"/>
          <w:numId w:val="1"/>
        </w:numPr>
        <w:spacing w:after="173" w:line="259" w:lineRule="auto"/>
        <w:ind w:hanging="360"/>
      </w:pPr>
      <w:proofErr w:type="spellStart"/>
      <w:r>
        <w:t>MacRoberts</w:t>
      </w:r>
      <w:proofErr w:type="spellEnd"/>
      <w:r>
        <w:t xml:space="preserve"> (2008) </w:t>
      </w:r>
      <w:r>
        <w:rPr>
          <w:i/>
        </w:rPr>
        <w:t>Scottish Building C</w:t>
      </w:r>
      <w:r>
        <w:rPr>
          <w:i/>
        </w:rPr>
        <w:t>ontracts, 2</w:t>
      </w:r>
      <w:r>
        <w:rPr>
          <w:i/>
          <w:sz w:val="22"/>
          <w:vertAlign w:val="superscript"/>
        </w:rPr>
        <w:t>nd</w:t>
      </w:r>
      <w:r>
        <w:rPr>
          <w:i/>
        </w:rPr>
        <w:t xml:space="preserve"> Edition</w:t>
      </w:r>
      <w:r>
        <w:t>, Oxford: Blackwell Publishing Ltd</w:t>
      </w:r>
    </w:p>
    <w:p w:rsidR="00C6341C" w:rsidRDefault="00416F33">
      <w:pPr>
        <w:numPr>
          <w:ilvl w:val="0"/>
          <w:numId w:val="1"/>
        </w:numPr>
        <w:spacing w:after="161" w:line="259" w:lineRule="auto"/>
        <w:ind w:hanging="360"/>
      </w:pPr>
      <w:r>
        <w:t xml:space="preserve">The National Archives, </w:t>
      </w:r>
      <w:r>
        <w:t>http://www.legislation.gov.uk, (2/11/2013)</w:t>
      </w:r>
    </w:p>
    <w:p w:rsidR="00C6341C" w:rsidRDefault="00416F33" w:rsidP="00FB0863">
      <w:pPr>
        <w:numPr>
          <w:ilvl w:val="0"/>
          <w:numId w:val="1"/>
        </w:numPr>
        <w:spacing w:after="11629" w:line="370" w:lineRule="auto"/>
        <w:ind w:hanging="360"/>
      </w:pPr>
      <w:r>
        <w:t xml:space="preserve">Willett, C. &amp; O’Donnell, A. (1996) </w:t>
      </w:r>
      <w:r>
        <w:rPr>
          <w:i/>
        </w:rPr>
        <w:t>Scottish Law, Text, Cases and Materials, 2</w:t>
      </w:r>
      <w:r>
        <w:rPr>
          <w:i/>
          <w:sz w:val="22"/>
          <w:vertAlign w:val="superscript"/>
        </w:rPr>
        <w:t>nd</w:t>
      </w:r>
      <w:r>
        <w:rPr>
          <w:i/>
        </w:rPr>
        <w:t xml:space="preserve"> Edition</w:t>
      </w:r>
      <w:r>
        <w:t>, London: Blackstone Press Ltd</w:t>
      </w:r>
    </w:p>
    <w:sectPr w:rsidR="00C6341C">
      <w:footerReference w:type="even" r:id="rId7"/>
      <w:footerReference w:type="default" r:id="rId8"/>
      <w:footerReference w:type="first" r:id="rId9"/>
      <w:pgSz w:w="11900" w:h="16840"/>
      <w:pgMar w:top="387" w:right="1078" w:bottom="20" w:left="57" w:header="720" w:footer="177"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16F33" w:rsidRDefault="00416F33">
      <w:pPr>
        <w:spacing w:after="0" w:line="240" w:lineRule="auto"/>
      </w:pPr>
      <w:r>
        <w:separator/>
      </w:r>
    </w:p>
  </w:endnote>
  <w:endnote w:type="continuationSeparator" w:id="0">
    <w:p w:rsidR="00416F33" w:rsidRDefault="00416F3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6341C" w:rsidRDefault="00416F33">
    <w:pPr>
      <w:spacing w:after="367" w:line="259" w:lineRule="auto"/>
      <w:ind w:left="567" w:firstLine="0"/>
    </w:pPr>
    <w:r>
      <w:rPr>
        <w:rFonts w:ascii="Times New Roman" w:eastAsia="Times New Roman" w:hAnsi="Times New Roman" w:cs="Times New Roman"/>
        <w:sz w:val="16"/>
      </w:rPr>
      <w:t>This study source was downloaded by 100000843977679 from CourseHero.com on 04-12-2022 23:32:17 GMT -05:00</w:t>
    </w:r>
  </w:p>
  <w:p w:rsidR="00C6341C" w:rsidRDefault="00416F33">
    <w:pPr>
      <w:spacing w:after="0" w:line="259" w:lineRule="auto"/>
      <w:ind w:left="567" w:firstLine="0"/>
    </w:pPr>
    <w:r>
      <w:rPr>
        <w:rFonts w:ascii="Times New Roman" w:eastAsia="Times New Roman" w:hAnsi="Times New Roman" w:cs="Times New Roman"/>
        <w:sz w:val="16"/>
      </w:rPr>
      <w:t>https://w</w:t>
    </w:r>
    <w:r>
      <w:rPr>
        <w:rFonts w:ascii="Times New Roman" w:eastAsia="Times New Roman" w:hAnsi="Times New Roman" w:cs="Times New Roman"/>
        <w:sz w:val="16"/>
      </w:rPr>
      <w:t>ww.coursehero.com/file/10806795/Contract-Law-Assignment-Answer/</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6341C" w:rsidRDefault="00C6341C">
    <w:pPr>
      <w:spacing w:after="0" w:line="259" w:lineRule="auto"/>
      <w:ind w:left="567" w:firstLine="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6341C" w:rsidRDefault="00416F33">
    <w:pPr>
      <w:spacing w:after="367" w:line="259" w:lineRule="auto"/>
      <w:ind w:left="567" w:firstLine="0"/>
    </w:pPr>
    <w:r>
      <w:rPr>
        <w:rFonts w:ascii="Times New Roman" w:eastAsia="Times New Roman" w:hAnsi="Times New Roman" w:cs="Times New Roman"/>
        <w:sz w:val="16"/>
      </w:rPr>
      <w:t>This study so</w:t>
    </w:r>
    <w:r>
      <w:rPr>
        <w:rFonts w:ascii="Times New Roman" w:eastAsia="Times New Roman" w:hAnsi="Times New Roman" w:cs="Times New Roman"/>
        <w:sz w:val="16"/>
      </w:rPr>
      <w:t>urce was downloaded by 100000843977679 from CourseHero.com on 04-12-2022 23:32:17 GMT -05:00</w:t>
    </w:r>
  </w:p>
  <w:p w:rsidR="00C6341C" w:rsidRDefault="00416F33">
    <w:pPr>
      <w:spacing w:after="0" w:line="259" w:lineRule="auto"/>
      <w:ind w:left="567" w:firstLine="0"/>
    </w:pPr>
    <w:r>
      <w:rPr>
        <w:rFonts w:ascii="Times New Roman" w:eastAsia="Times New Roman" w:hAnsi="Times New Roman" w:cs="Times New Roman"/>
        <w:sz w:val="16"/>
      </w:rPr>
      <w:t>https://www.coursehero.com/file/10806795/Contract-Law-Assignment-Answer/</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16F33" w:rsidRDefault="00416F33">
      <w:pPr>
        <w:spacing w:after="0" w:line="240" w:lineRule="auto"/>
      </w:pPr>
      <w:r>
        <w:separator/>
      </w:r>
    </w:p>
  </w:footnote>
  <w:footnote w:type="continuationSeparator" w:id="0">
    <w:p w:rsidR="00416F33" w:rsidRDefault="00416F3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D0C393D"/>
    <w:multiLevelType w:val="hybridMultilevel"/>
    <w:tmpl w:val="12EC6120"/>
    <w:lvl w:ilvl="0" w:tplc="999A146E">
      <w:start w:val="1"/>
      <w:numFmt w:val="bullet"/>
      <w:lvlText w:val="•"/>
      <w:lvlJc w:val="left"/>
      <w:pPr>
        <w:ind w:left="136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39EA0E2C">
      <w:start w:val="1"/>
      <w:numFmt w:val="bullet"/>
      <w:lvlText w:val="o"/>
      <w:lvlJc w:val="left"/>
      <w:pPr>
        <w:ind w:left="2103"/>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2BFAA1CC">
      <w:start w:val="1"/>
      <w:numFmt w:val="bullet"/>
      <w:lvlText w:val="▪"/>
      <w:lvlJc w:val="left"/>
      <w:pPr>
        <w:ind w:left="2823"/>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84461522">
      <w:start w:val="1"/>
      <w:numFmt w:val="bullet"/>
      <w:lvlText w:val="•"/>
      <w:lvlJc w:val="left"/>
      <w:pPr>
        <w:ind w:left="3543"/>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0F245DB6">
      <w:start w:val="1"/>
      <w:numFmt w:val="bullet"/>
      <w:lvlText w:val="o"/>
      <w:lvlJc w:val="left"/>
      <w:pPr>
        <w:ind w:left="4263"/>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66B82B7A">
      <w:start w:val="1"/>
      <w:numFmt w:val="bullet"/>
      <w:lvlText w:val="▪"/>
      <w:lvlJc w:val="left"/>
      <w:pPr>
        <w:ind w:left="4983"/>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4EC679E0">
      <w:start w:val="1"/>
      <w:numFmt w:val="bullet"/>
      <w:lvlText w:val="•"/>
      <w:lvlJc w:val="left"/>
      <w:pPr>
        <w:ind w:left="5703"/>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F77CD0B4">
      <w:start w:val="1"/>
      <w:numFmt w:val="bullet"/>
      <w:lvlText w:val="o"/>
      <w:lvlJc w:val="left"/>
      <w:pPr>
        <w:ind w:left="6423"/>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0BAC3CE6">
      <w:start w:val="1"/>
      <w:numFmt w:val="bullet"/>
      <w:lvlText w:val="▪"/>
      <w:lvlJc w:val="left"/>
      <w:pPr>
        <w:ind w:left="7143"/>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341C"/>
    <w:rsid w:val="00416F33"/>
    <w:rsid w:val="00C6341C"/>
    <w:rsid w:val="00FB08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CA1820B-FB23-49A9-90DC-E90BF89D9C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545" w:line="458" w:lineRule="auto"/>
      <w:ind w:left="1033" w:hanging="10"/>
    </w:pPr>
    <w:rPr>
      <w:rFonts w:ascii="Calibri" w:eastAsia="Calibri" w:hAnsi="Calibri" w:cs="Calibri"/>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6</Pages>
  <Words>1865</Words>
  <Characters>10632</Characters>
  <Application>Microsoft Office Word</Application>
  <DocSecurity>0</DocSecurity>
  <Lines>88</Lines>
  <Paragraphs>24</Paragraphs>
  <ScaleCrop>false</ScaleCrop>
  <Company/>
  <LinksUpToDate>false</LinksUpToDate>
  <CharactersWithSpaces>12473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100000843977679,Uploader: 100000755474922,CHDL-UGC-Meta</cp:keywords>
  <cp:lastModifiedBy>Microsoft account</cp:lastModifiedBy>
  <cp:revision>2</cp:revision>
  <dcterms:created xsi:type="dcterms:W3CDTF">2022-04-13T04:39:00Z</dcterms:created>
  <dcterms:modified xsi:type="dcterms:W3CDTF">2022-04-13T04:39:00Z</dcterms:modified>
</cp:coreProperties>
</file>