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0E28" w:rsidRDefault="0069342A">
      <w:pPr>
        <w:spacing w:after="806" w:line="259" w:lineRule="auto"/>
        <w:ind w:left="510" w:right="-1229" w:firstLine="0"/>
      </w:pPr>
      <w:r>
        <w:rPr>
          <w:rFonts w:ascii="Arial" w:eastAsia="Arial" w:hAnsi="Arial" w:cs="Arial"/>
        </w:rPr>
        <w:t xml:space="preserve"> </w:t>
      </w:r>
    </w:p>
    <w:p w:rsidR="00810E28" w:rsidRDefault="0069342A" w:rsidP="009E6C13">
      <w:pPr>
        <w:spacing w:after="3" w:line="265" w:lineRule="auto"/>
        <w:ind w:left="10" w:right="-12" w:hanging="10"/>
        <w:jc w:val="center"/>
      </w:pPr>
      <w:bookmarkStart w:id="0" w:name="_GoBack"/>
      <w:r>
        <w:t xml:space="preserve">Accounting 42 </w:t>
      </w:r>
    </w:p>
    <w:bookmarkEnd w:id="0"/>
    <w:p w:rsidR="00810E28" w:rsidRDefault="0069342A">
      <w:pPr>
        <w:ind w:left="1730" w:right="0"/>
      </w:pPr>
      <w:r>
        <w:t xml:space="preserve">Over the years, </w:t>
      </w:r>
      <w:r>
        <w:rPr>
          <w:i/>
        </w:rPr>
        <w:t>Apple, Inc.</w:t>
      </w:r>
      <w:r>
        <w:t xml:space="preserve"> has grown to be a very large, successful company. Started in April of 1971, by Steve Wozniak and current CEO Steve Jobs, Apple has </w:t>
      </w:r>
      <w:r>
        <w:t>always been a competitive company in the computer market.  While it was first started in a garage, their corporate headquarters are now located in Cupertino, California. While the primary products sold were computers and one point, that’s not so much the c</w:t>
      </w:r>
      <w:r>
        <w:t xml:space="preserve">ase anymore.  In fact, in January 2007, Apple changed the company’s name from </w:t>
      </w:r>
      <w:r>
        <w:rPr>
          <w:i/>
        </w:rPr>
        <w:t>Apple Computers, Inc.</w:t>
      </w:r>
      <w:r>
        <w:t xml:space="preserve"> to simply </w:t>
      </w:r>
      <w:r>
        <w:rPr>
          <w:i/>
        </w:rPr>
        <w:t>Apple, Inc.</w:t>
      </w:r>
      <w:r>
        <w:t xml:space="preserve">  While they still hold a large market share of the computer industry to date, they also manufacture and sell many other products as we</w:t>
      </w:r>
      <w:r>
        <w:t>ll.</w:t>
      </w:r>
    </w:p>
    <w:p w:rsidR="00810E28" w:rsidRDefault="0069342A">
      <w:pPr>
        <w:ind w:left="1730" w:right="0"/>
      </w:pPr>
      <w:r>
        <w:t xml:space="preserve">In addition to computers, Apple has over the years made many, many other products.  Currently, the company has three different models of desktop computers, known as the Mac Mini, iMac, and the Mac Pro.  In portable computers, they produce the Mac Book </w:t>
      </w:r>
      <w:r>
        <w:t xml:space="preserve">and Mac Book Pro.  Of course they know produce much more then </w:t>
      </w:r>
      <w:proofErr w:type="gramStart"/>
      <w:r>
        <w:t>computers</w:t>
      </w:r>
      <w:proofErr w:type="gramEnd"/>
      <w:r>
        <w:t xml:space="preserve">. </w:t>
      </w:r>
    </w:p>
    <w:p w:rsidR="00810E28" w:rsidRDefault="0069342A">
      <w:pPr>
        <w:ind w:left="1730" w:right="0" w:firstLine="0"/>
      </w:pPr>
      <w:r>
        <w:t>Apple has its own operating system, known as OS X, and the world wide known iPod. Lastly, Apple makes many different computer and iPod accessories, software, servers, mice/keyboards,</w:t>
      </w:r>
      <w:r>
        <w:t xml:space="preserve"> the new Apple TV, and other new products coming out in the near future.  Walk into one of over 300 retail stores across the world, and you can visit a “Genius Bar”, where specially trained employees can help and offer support to customers.  If they can’t </w:t>
      </w:r>
      <w:r>
        <w:t>help, they can send products into Apple’s mail in-support center, known as Apple Care.  In July, the highly anticipated iPhone will be released, bring Apple into the cell phone marketplace as well.  Over the past 30 years, Apple has introduced many great n</w:t>
      </w:r>
      <w:r>
        <w:t>ew products, and it is sure that many great new products will be released in the years to come.</w:t>
      </w:r>
    </w:p>
    <w:p w:rsidR="00810E28" w:rsidRDefault="0069342A">
      <w:pPr>
        <w:ind w:left="1730" w:right="0"/>
      </w:pPr>
      <w:r>
        <w:t xml:space="preserve">The stock of Apple, Inc. seems to be good stock to invest in.  The current cost per share runs around $88.  Yet in the past fifty-two weeks, it reached a high </w:t>
      </w:r>
      <w:proofErr w:type="gramStart"/>
      <w:r>
        <w:t>o</w:t>
      </w:r>
      <w:r>
        <w:t>f  $</w:t>
      </w:r>
      <w:proofErr w:type="gramEnd"/>
      <w:r>
        <w:t xml:space="preserve">97.80.  </w:t>
      </w:r>
      <w:r>
        <w:lastRenderedPageBreak/>
        <w:t>This peek occurred in January of this year, right during Macworld Expo, a show with hundreds of Apple product vendors show off all their new products for the Apple industry. Furthermore, Apple always announces many of its new products during th</w:t>
      </w:r>
      <w:r>
        <w:t xml:space="preserve">is time, which may explain why it reached the highest point in the year.  In July of last year, Apple reached its lowest stock price of the year, at $50.16.  However it quickly returned to a much higher price, closer to where it remains today.  Along with </w:t>
      </w:r>
      <w:r>
        <w:t xml:space="preserve">many other technology companies, Apple’s stock is traded in the NASDAQ stock exchange.  A recent day’s volume of traded shares was 25,847,208, which is significantly lower </w:t>
      </w:r>
      <w:proofErr w:type="spellStart"/>
      <w:r>
        <w:t>then</w:t>
      </w:r>
      <w:proofErr w:type="spellEnd"/>
      <w:r>
        <w:t xml:space="preserve"> the 3-month average volume of 35,376,600 shares.</w:t>
      </w:r>
    </w:p>
    <w:p w:rsidR="00810E28" w:rsidRDefault="0069342A">
      <w:pPr>
        <w:ind w:left="1730" w:right="0"/>
      </w:pPr>
      <w:r>
        <w:t xml:space="preserve">While the stock seems to look </w:t>
      </w:r>
      <w:r>
        <w:t xml:space="preserve">good, considering its worth almost $100 a share, </w:t>
      </w:r>
      <w:proofErr w:type="spellStart"/>
      <w:proofErr w:type="gramStart"/>
      <w:r>
        <w:t>its</w:t>
      </w:r>
      <w:proofErr w:type="spellEnd"/>
      <w:proofErr w:type="gramEnd"/>
      <w:r>
        <w:t xml:space="preserve"> really important to analyze the </w:t>
      </w:r>
      <w:proofErr w:type="spellStart"/>
      <w:r>
        <w:t>companies</w:t>
      </w:r>
      <w:proofErr w:type="spellEnd"/>
      <w:r>
        <w:t xml:space="preserve"> financial statements, to determine if it really is worth it to invest in such a company.  First off, analyzing the financial statements through a vertical analys</w:t>
      </w:r>
      <w:r>
        <w:t xml:space="preserve">is.  This type of analysis compares each value with the total value for the statement.  Below is a table computing these different ratios for Apple’s balance sheets for the years ended 2006 &amp; 2005, where it’s year’s total assets were  $17,205,000 &amp; </w:t>
      </w:r>
    </w:p>
    <w:p w:rsidR="00810E28" w:rsidRDefault="0069342A">
      <w:pPr>
        <w:spacing w:line="259" w:lineRule="auto"/>
        <w:ind w:left="1730" w:right="0" w:firstLine="0"/>
      </w:pPr>
      <w:r>
        <w:t>$11,55</w:t>
      </w:r>
      <w:r>
        <w:t>1,000 respectively.</w:t>
      </w:r>
    </w:p>
    <w:tbl>
      <w:tblPr>
        <w:tblStyle w:val="TableGrid"/>
        <w:tblW w:w="9029" w:type="dxa"/>
        <w:tblInd w:w="1632" w:type="dxa"/>
        <w:tblCellMar>
          <w:top w:w="14" w:type="dxa"/>
          <w:left w:w="109" w:type="dxa"/>
          <w:bottom w:w="0" w:type="dxa"/>
          <w:right w:w="115" w:type="dxa"/>
        </w:tblCellMar>
        <w:tblLook w:val="04A0" w:firstRow="1" w:lastRow="0" w:firstColumn="1" w:lastColumn="0" w:noHBand="0" w:noVBand="1"/>
      </w:tblPr>
      <w:tblGrid>
        <w:gridCol w:w="1729"/>
        <w:gridCol w:w="2250"/>
        <w:gridCol w:w="2520"/>
        <w:gridCol w:w="2530"/>
      </w:tblGrid>
      <w:tr w:rsidR="00810E28">
        <w:trPr>
          <w:trHeight w:val="263"/>
        </w:trPr>
        <w:tc>
          <w:tcPr>
            <w:tcW w:w="1729" w:type="dxa"/>
            <w:tcBorders>
              <w:top w:val="single" w:sz="4" w:space="0" w:color="000000"/>
              <w:left w:val="single" w:sz="4" w:space="0" w:color="000000"/>
              <w:bottom w:val="single" w:sz="4" w:space="0" w:color="000000"/>
              <w:right w:val="single" w:sz="5" w:space="0" w:color="000000"/>
            </w:tcBorders>
          </w:tcPr>
          <w:p w:rsidR="00810E28" w:rsidRDefault="00810E28">
            <w:pPr>
              <w:spacing w:after="160" w:line="259" w:lineRule="auto"/>
              <w:ind w:right="0" w:firstLine="0"/>
            </w:pPr>
          </w:p>
        </w:tc>
        <w:tc>
          <w:tcPr>
            <w:tcW w:w="2250" w:type="dxa"/>
            <w:tcBorders>
              <w:top w:val="single" w:sz="4" w:space="0" w:color="000000"/>
              <w:left w:val="single" w:sz="5" w:space="0" w:color="000000"/>
              <w:bottom w:val="single" w:sz="4" w:space="0" w:color="000000"/>
              <w:right w:val="single" w:sz="4" w:space="0" w:color="000000"/>
            </w:tcBorders>
          </w:tcPr>
          <w:p w:rsidR="00810E28" w:rsidRDefault="0069342A">
            <w:pPr>
              <w:spacing w:line="259" w:lineRule="auto"/>
              <w:ind w:right="0" w:firstLine="0"/>
            </w:pPr>
            <w:r>
              <w:rPr>
                <w:b/>
                <w:sz w:val="22"/>
              </w:rPr>
              <w:t>2006</w:t>
            </w:r>
          </w:p>
        </w:tc>
        <w:tc>
          <w:tcPr>
            <w:tcW w:w="2520" w:type="dxa"/>
            <w:tcBorders>
              <w:top w:val="single" w:sz="4" w:space="0" w:color="000000"/>
              <w:left w:val="single" w:sz="4" w:space="0" w:color="000000"/>
              <w:bottom w:val="single" w:sz="4" w:space="0" w:color="000000"/>
              <w:right w:val="single" w:sz="4" w:space="0" w:color="000000"/>
            </w:tcBorders>
          </w:tcPr>
          <w:p w:rsidR="00810E28" w:rsidRDefault="0069342A">
            <w:pPr>
              <w:spacing w:line="259" w:lineRule="auto"/>
              <w:ind w:right="0" w:firstLine="0"/>
            </w:pPr>
            <w:r>
              <w:rPr>
                <w:b/>
                <w:sz w:val="22"/>
              </w:rPr>
              <w:t>2005</w:t>
            </w:r>
          </w:p>
        </w:tc>
        <w:tc>
          <w:tcPr>
            <w:tcW w:w="2530" w:type="dxa"/>
            <w:tcBorders>
              <w:top w:val="single" w:sz="4" w:space="0" w:color="000000"/>
              <w:left w:val="single" w:sz="4" w:space="0" w:color="000000"/>
              <w:bottom w:val="single" w:sz="4" w:space="0" w:color="000000"/>
              <w:right w:val="single" w:sz="5" w:space="0" w:color="000000"/>
            </w:tcBorders>
          </w:tcPr>
          <w:p w:rsidR="00810E28" w:rsidRDefault="0069342A">
            <w:pPr>
              <w:spacing w:line="259" w:lineRule="auto"/>
              <w:ind w:right="0" w:firstLine="0"/>
            </w:pPr>
            <w:r>
              <w:rPr>
                <w:b/>
                <w:sz w:val="22"/>
              </w:rPr>
              <w:t>Change from ’05 to ‘06</w:t>
            </w:r>
          </w:p>
        </w:tc>
      </w:tr>
      <w:tr w:rsidR="00810E28">
        <w:trPr>
          <w:trHeight w:val="516"/>
        </w:trPr>
        <w:tc>
          <w:tcPr>
            <w:tcW w:w="1729" w:type="dxa"/>
            <w:tcBorders>
              <w:top w:val="single" w:sz="4" w:space="0" w:color="000000"/>
              <w:left w:val="single" w:sz="4" w:space="0" w:color="000000"/>
              <w:bottom w:val="single" w:sz="4" w:space="0" w:color="000000"/>
              <w:right w:val="single" w:sz="5" w:space="0" w:color="000000"/>
            </w:tcBorders>
          </w:tcPr>
          <w:p w:rsidR="00810E28" w:rsidRDefault="0069342A">
            <w:pPr>
              <w:spacing w:line="259" w:lineRule="auto"/>
              <w:ind w:left="1" w:right="0" w:firstLine="0"/>
            </w:pPr>
            <w:r>
              <w:rPr>
                <w:b/>
                <w:sz w:val="22"/>
              </w:rPr>
              <w:t>Current Assets</w:t>
            </w:r>
          </w:p>
        </w:tc>
        <w:tc>
          <w:tcPr>
            <w:tcW w:w="2250" w:type="dxa"/>
            <w:tcBorders>
              <w:top w:val="single" w:sz="4" w:space="0" w:color="000000"/>
              <w:left w:val="single" w:sz="5" w:space="0" w:color="000000"/>
              <w:bottom w:val="single" w:sz="4" w:space="0" w:color="000000"/>
              <w:right w:val="single" w:sz="4" w:space="0" w:color="000000"/>
            </w:tcBorders>
          </w:tcPr>
          <w:p w:rsidR="00810E28" w:rsidRDefault="0069342A">
            <w:pPr>
              <w:spacing w:line="259" w:lineRule="auto"/>
              <w:ind w:right="0" w:firstLine="0"/>
            </w:pPr>
            <w:r>
              <w:rPr>
                <w:sz w:val="22"/>
              </w:rPr>
              <w:t>14,509,000/17,205,00</w:t>
            </w:r>
          </w:p>
          <w:p w:rsidR="00810E28" w:rsidRDefault="0069342A">
            <w:pPr>
              <w:spacing w:line="259" w:lineRule="auto"/>
              <w:ind w:right="0" w:firstLine="0"/>
            </w:pPr>
            <w:r>
              <w:rPr>
                <w:sz w:val="22"/>
              </w:rPr>
              <w:t>0= 84.33%</w:t>
            </w:r>
          </w:p>
        </w:tc>
        <w:tc>
          <w:tcPr>
            <w:tcW w:w="2520" w:type="dxa"/>
            <w:tcBorders>
              <w:top w:val="single" w:sz="4" w:space="0" w:color="000000"/>
              <w:left w:val="single" w:sz="4" w:space="0" w:color="000000"/>
              <w:bottom w:val="single" w:sz="4" w:space="0" w:color="000000"/>
              <w:right w:val="single" w:sz="4" w:space="0" w:color="000000"/>
            </w:tcBorders>
          </w:tcPr>
          <w:p w:rsidR="00810E28" w:rsidRDefault="0069342A">
            <w:pPr>
              <w:spacing w:line="259" w:lineRule="auto"/>
              <w:ind w:right="0" w:firstLine="0"/>
            </w:pPr>
            <w:r>
              <w:rPr>
                <w:sz w:val="22"/>
              </w:rPr>
              <w:t xml:space="preserve">10,300,000/11,511,000= </w:t>
            </w:r>
          </w:p>
          <w:p w:rsidR="00810E28" w:rsidRDefault="0069342A">
            <w:pPr>
              <w:spacing w:line="259" w:lineRule="auto"/>
              <w:ind w:right="0" w:firstLine="0"/>
            </w:pPr>
            <w:r>
              <w:rPr>
                <w:sz w:val="22"/>
              </w:rPr>
              <w:t>89.48%</w:t>
            </w:r>
          </w:p>
        </w:tc>
        <w:tc>
          <w:tcPr>
            <w:tcW w:w="2530" w:type="dxa"/>
            <w:tcBorders>
              <w:top w:val="single" w:sz="4" w:space="0" w:color="000000"/>
              <w:left w:val="single" w:sz="4" w:space="0" w:color="000000"/>
              <w:bottom w:val="single" w:sz="4" w:space="0" w:color="000000"/>
              <w:right w:val="single" w:sz="5" w:space="0" w:color="000000"/>
            </w:tcBorders>
          </w:tcPr>
          <w:p w:rsidR="00810E28" w:rsidRDefault="0069342A">
            <w:pPr>
              <w:spacing w:line="259" w:lineRule="auto"/>
              <w:ind w:right="0" w:firstLine="0"/>
            </w:pPr>
            <w:r>
              <w:rPr>
                <w:sz w:val="22"/>
              </w:rPr>
              <w:t>Decrease of 5.15%</w:t>
            </w:r>
          </w:p>
        </w:tc>
      </w:tr>
      <w:tr w:rsidR="00810E28">
        <w:trPr>
          <w:trHeight w:val="516"/>
        </w:trPr>
        <w:tc>
          <w:tcPr>
            <w:tcW w:w="1729" w:type="dxa"/>
            <w:tcBorders>
              <w:top w:val="single" w:sz="4" w:space="0" w:color="000000"/>
              <w:left w:val="single" w:sz="4" w:space="0" w:color="000000"/>
              <w:bottom w:val="single" w:sz="4" w:space="0" w:color="000000"/>
              <w:right w:val="single" w:sz="5" w:space="0" w:color="000000"/>
            </w:tcBorders>
          </w:tcPr>
          <w:p w:rsidR="00810E28" w:rsidRDefault="0069342A">
            <w:pPr>
              <w:spacing w:line="259" w:lineRule="auto"/>
              <w:ind w:left="1" w:right="0" w:firstLine="0"/>
            </w:pPr>
            <w:r>
              <w:rPr>
                <w:b/>
                <w:sz w:val="22"/>
              </w:rPr>
              <w:t>Total Liabilities</w:t>
            </w:r>
          </w:p>
        </w:tc>
        <w:tc>
          <w:tcPr>
            <w:tcW w:w="2250" w:type="dxa"/>
            <w:tcBorders>
              <w:top w:val="single" w:sz="4" w:space="0" w:color="000000"/>
              <w:left w:val="single" w:sz="5" w:space="0" w:color="000000"/>
              <w:bottom w:val="single" w:sz="4" w:space="0" w:color="000000"/>
              <w:right w:val="single" w:sz="4" w:space="0" w:color="000000"/>
            </w:tcBorders>
          </w:tcPr>
          <w:p w:rsidR="00810E28" w:rsidRDefault="0069342A">
            <w:pPr>
              <w:spacing w:line="259" w:lineRule="auto"/>
              <w:ind w:right="0" w:firstLine="0"/>
            </w:pPr>
            <w:r>
              <w:rPr>
                <w:sz w:val="22"/>
              </w:rPr>
              <w:t>7,221,000/17,205,000</w:t>
            </w:r>
          </w:p>
          <w:p w:rsidR="00810E28" w:rsidRDefault="0069342A">
            <w:pPr>
              <w:spacing w:line="259" w:lineRule="auto"/>
              <w:ind w:right="0" w:firstLine="0"/>
            </w:pPr>
            <w:r>
              <w:rPr>
                <w:sz w:val="22"/>
              </w:rPr>
              <w:t>= 41.97%</w:t>
            </w:r>
          </w:p>
        </w:tc>
        <w:tc>
          <w:tcPr>
            <w:tcW w:w="2520" w:type="dxa"/>
            <w:tcBorders>
              <w:top w:val="single" w:sz="4" w:space="0" w:color="000000"/>
              <w:left w:val="single" w:sz="4" w:space="0" w:color="000000"/>
              <w:bottom w:val="single" w:sz="4" w:space="0" w:color="000000"/>
              <w:right w:val="single" w:sz="4" w:space="0" w:color="000000"/>
            </w:tcBorders>
          </w:tcPr>
          <w:p w:rsidR="00810E28" w:rsidRDefault="0069342A">
            <w:pPr>
              <w:spacing w:line="259" w:lineRule="auto"/>
              <w:ind w:right="0" w:firstLine="0"/>
            </w:pPr>
            <w:r>
              <w:rPr>
                <w:sz w:val="22"/>
              </w:rPr>
              <w:t xml:space="preserve">4,085,000/11,511,000= </w:t>
            </w:r>
          </w:p>
          <w:p w:rsidR="00810E28" w:rsidRDefault="0069342A">
            <w:pPr>
              <w:spacing w:line="259" w:lineRule="auto"/>
              <w:ind w:right="0" w:firstLine="0"/>
            </w:pPr>
            <w:r>
              <w:rPr>
                <w:sz w:val="22"/>
              </w:rPr>
              <w:t>41.74%</w:t>
            </w:r>
          </w:p>
        </w:tc>
        <w:tc>
          <w:tcPr>
            <w:tcW w:w="2530" w:type="dxa"/>
            <w:tcBorders>
              <w:top w:val="single" w:sz="4" w:space="0" w:color="000000"/>
              <w:left w:val="single" w:sz="4" w:space="0" w:color="000000"/>
              <w:bottom w:val="single" w:sz="4" w:space="0" w:color="000000"/>
              <w:right w:val="single" w:sz="5" w:space="0" w:color="000000"/>
            </w:tcBorders>
          </w:tcPr>
          <w:p w:rsidR="00810E28" w:rsidRDefault="0069342A">
            <w:pPr>
              <w:spacing w:line="259" w:lineRule="auto"/>
              <w:ind w:right="0" w:firstLine="0"/>
            </w:pPr>
            <w:r>
              <w:rPr>
                <w:sz w:val="22"/>
              </w:rPr>
              <w:t>Increase of .23%</w:t>
            </w:r>
          </w:p>
        </w:tc>
      </w:tr>
      <w:tr w:rsidR="00810E28">
        <w:trPr>
          <w:trHeight w:val="517"/>
        </w:trPr>
        <w:tc>
          <w:tcPr>
            <w:tcW w:w="1729" w:type="dxa"/>
            <w:tcBorders>
              <w:top w:val="single" w:sz="4" w:space="0" w:color="000000"/>
              <w:left w:val="single" w:sz="4" w:space="0" w:color="000000"/>
              <w:bottom w:val="single" w:sz="4" w:space="0" w:color="000000"/>
              <w:right w:val="single" w:sz="5" w:space="0" w:color="000000"/>
            </w:tcBorders>
          </w:tcPr>
          <w:p w:rsidR="00810E28" w:rsidRDefault="0069342A">
            <w:pPr>
              <w:spacing w:line="259" w:lineRule="auto"/>
              <w:ind w:left="1" w:right="0" w:firstLine="0"/>
            </w:pPr>
            <w:r>
              <w:rPr>
                <w:b/>
                <w:sz w:val="22"/>
              </w:rPr>
              <w:t>Stockholder’s Equity</w:t>
            </w:r>
          </w:p>
        </w:tc>
        <w:tc>
          <w:tcPr>
            <w:tcW w:w="2250" w:type="dxa"/>
            <w:tcBorders>
              <w:top w:val="single" w:sz="4" w:space="0" w:color="000000"/>
              <w:left w:val="single" w:sz="5" w:space="0" w:color="000000"/>
              <w:bottom w:val="single" w:sz="4" w:space="0" w:color="000000"/>
              <w:right w:val="single" w:sz="4" w:space="0" w:color="000000"/>
            </w:tcBorders>
          </w:tcPr>
          <w:p w:rsidR="00810E28" w:rsidRDefault="0069342A">
            <w:pPr>
              <w:spacing w:line="259" w:lineRule="auto"/>
              <w:ind w:right="0" w:firstLine="0"/>
            </w:pPr>
            <w:r>
              <w:rPr>
                <w:sz w:val="22"/>
              </w:rPr>
              <w:t>9,984,999/17,205,000</w:t>
            </w:r>
          </w:p>
          <w:p w:rsidR="00810E28" w:rsidRDefault="0069342A">
            <w:pPr>
              <w:spacing w:line="259" w:lineRule="auto"/>
              <w:ind w:right="0" w:firstLine="0"/>
            </w:pPr>
            <w:r>
              <w:rPr>
                <w:sz w:val="22"/>
              </w:rPr>
              <w:t>= 58%</w:t>
            </w:r>
          </w:p>
        </w:tc>
        <w:tc>
          <w:tcPr>
            <w:tcW w:w="2520" w:type="dxa"/>
            <w:tcBorders>
              <w:top w:val="single" w:sz="4" w:space="0" w:color="000000"/>
              <w:left w:val="single" w:sz="4" w:space="0" w:color="000000"/>
              <w:bottom w:val="single" w:sz="4" w:space="0" w:color="000000"/>
              <w:right w:val="single" w:sz="4" w:space="0" w:color="000000"/>
            </w:tcBorders>
          </w:tcPr>
          <w:p w:rsidR="00810E28" w:rsidRDefault="0069342A">
            <w:pPr>
              <w:spacing w:line="259" w:lineRule="auto"/>
              <w:ind w:right="0" w:firstLine="0"/>
            </w:pPr>
            <w:r>
              <w:rPr>
                <w:sz w:val="22"/>
              </w:rPr>
              <w:t xml:space="preserve">7,446,000/11,511,000= </w:t>
            </w:r>
          </w:p>
          <w:p w:rsidR="00810E28" w:rsidRDefault="0069342A">
            <w:pPr>
              <w:spacing w:line="259" w:lineRule="auto"/>
              <w:ind w:right="0" w:firstLine="0"/>
            </w:pPr>
            <w:r>
              <w:rPr>
                <w:sz w:val="22"/>
              </w:rPr>
              <w:t>64.69%</w:t>
            </w:r>
          </w:p>
        </w:tc>
        <w:tc>
          <w:tcPr>
            <w:tcW w:w="2530" w:type="dxa"/>
            <w:tcBorders>
              <w:top w:val="single" w:sz="4" w:space="0" w:color="000000"/>
              <w:left w:val="single" w:sz="4" w:space="0" w:color="000000"/>
              <w:bottom w:val="single" w:sz="4" w:space="0" w:color="000000"/>
              <w:right w:val="single" w:sz="5" w:space="0" w:color="000000"/>
            </w:tcBorders>
          </w:tcPr>
          <w:p w:rsidR="00810E28" w:rsidRDefault="0069342A">
            <w:pPr>
              <w:spacing w:line="259" w:lineRule="auto"/>
              <w:ind w:right="0" w:firstLine="0"/>
            </w:pPr>
            <w:r>
              <w:rPr>
                <w:sz w:val="22"/>
              </w:rPr>
              <w:t>Decrease of 6.69%</w:t>
            </w:r>
          </w:p>
        </w:tc>
      </w:tr>
    </w:tbl>
    <w:p w:rsidR="00810E28" w:rsidRDefault="0069342A">
      <w:pPr>
        <w:spacing w:line="259" w:lineRule="auto"/>
        <w:ind w:left="1730" w:right="0" w:firstLine="0"/>
      </w:pPr>
      <w:r>
        <w:t>It’s also necessary to vertically analyze Apple’s income statements for 2006 &amp; 2005.  For these years, their net sales were $19,315,000 &amp;</w:t>
      </w:r>
      <w:r>
        <w:t xml:space="preserve"> $13,931,000 respectively.</w:t>
      </w:r>
    </w:p>
    <w:tbl>
      <w:tblPr>
        <w:tblStyle w:val="TableGrid"/>
        <w:tblW w:w="9029" w:type="dxa"/>
        <w:tblInd w:w="1632" w:type="dxa"/>
        <w:tblCellMar>
          <w:top w:w="14" w:type="dxa"/>
          <w:left w:w="109" w:type="dxa"/>
          <w:bottom w:w="0" w:type="dxa"/>
          <w:right w:w="210" w:type="dxa"/>
        </w:tblCellMar>
        <w:tblLook w:val="04A0" w:firstRow="1" w:lastRow="0" w:firstColumn="1" w:lastColumn="0" w:noHBand="0" w:noVBand="1"/>
      </w:tblPr>
      <w:tblGrid>
        <w:gridCol w:w="1718"/>
        <w:gridCol w:w="2297"/>
        <w:gridCol w:w="2517"/>
        <w:gridCol w:w="2497"/>
      </w:tblGrid>
      <w:tr w:rsidR="00810E28">
        <w:trPr>
          <w:trHeight w:val="263"/>
        </w:trPr>
        <w:tc>
          <w:tcPr>
            <w:tcW w:w="1729" w:type="dxa"/>
            <w:tcBorders>
              <w:top w:val="single" w:sz="4" w:space="0" w:color="000000"/>
              <w:left w:val="single" w:sz="4" w:space="0" w:color="000000"/>
              <w:bottom w:val="single" w:sz="4" w:space="0" w:color="000000"/>
              <w:right w:val="single" w:sz="5" w:space="0" w:color="000000"/>
            </w:tcBorders>
          </w:tcPr>
          <w:p w:rsidR="00810E28" w:rsidRDefault="00810E28">
            <w:pPr>
              <w:spacing w:after="160" w:line="259" w:lineRule="auto"/>
              <w:ind w:right="0" w:firstLine="0"/>
            </w:pPr>
          </w:p>
        </w:tc>
        <w:tc>
          <w:tcPr>
            <w:tcW w:w="2250" w:type="dxa"/>
            <w:tcBorders>
              <w:top w:val="single" w:sz="4" w:space="0" w:color="000000"/>
              <w:left w:val="single" w:sz="5" w:space="0" w:color="000000"/>
              <w:bottom w:val="single" w:sz="4" w:space="0" w:color="000000"/>
              <w:right w:val="single" w:sz="4" w:space="0" w:color="000000"/>
            </w:tcBorders>
          </w:tcPr>
          <w:p w:rsidR="00810E28" w:rsidRDefault="0069342A">
            <w:pPr>
              <w:spacing w:line="259" w:lineRule="auto"/>
              <w:ind w:right="0" w:firstLine="0"/>
            </w:pPr>
            <w:r>
              <w:rPr>
                <w:b/>
                <w:sz w:val="22"/>
              </w:rPr>
              <w:t>2006</w:t>
            </w:r>
          </w:p>
        </w:tc>
        <w:tc>
          <w:tcPr>
            <w:tcW w:w="2520" w:type="dxa"/>
            <w:tcBorders>
              <w:top w:val="single" w:sz="4" w:space="0" w:color="000000"/>
              <w:left w:val="single" w:sz="4" w:space="0" w:color="000000"/>
              <w:bottom w:val="single" w:sz="4" w:space="0" w:color="000000"/>
              <w:right w:val="single" w:sz="4" w:space="0" w:color="000000"/>
            </w:tcBorders>
          </w:tcPr>
          <w:p w:rsidR="00810E28" w:rsidRDefault="0069342A">
            <w:pPr>
              <w:spacing w:line="259" w:lineRule="auto"/>
              <w:ind w:right="0" w:firstLine="0"/>
            </w:pPr>
            <w:r>
              <w:rPr>
                <w:b/>
                <w:sz w:val="22"/>
              </w:rPr>
              <w:t>2005</w:t>
            </w:r>
          </w:p>
        </w:tc>
        <w:tc>
          <w:tcPr>
            <w:tcW w:w="2530" w:type="dxa"/>
            <w:tcBorders>
              <w:top w:val="single" w:sz="4" w:space="0" w:color="000000"/>
              <w:left w:val="single" w:sz="4" w:space="0" w:color="000000"/>
              <w:bottom w:val="single" w:sz="4" w:space="0" w:color="000000"/>
              <w:right w:val="single" w:sz="5" w:space="0" w:color="000000"/>
            </w:tcBorders>
          </w:tcPr>
          <w:p w:rsidR="00810E28" w:rsidRDefault="0069342A">
            <w:pPr>
              <w:spacing w:line="259" w:lineRule="auto"/>
              <w:ind w:right="0" w:firstLine="0"/>
            </w:pPr>
            <w:r>
              <w:rPr>
                <w:b/>
                <w:sz w:val="22"/>
              </w:rPr>
              <w:t>Change from ’05 to ‘06</w:t>
            </w:r>
          </w:p>
        </w:tc>
      </w:tr>
      <w:tr w:rsidR="00810E28">
        <w:trPr>
          <w:trHeight w:val="516"/>
        </w:trPr>
        <w:tc>
          <w:tcPr>
            <w:tcW w:w="1729" w:type="dxa"/>
            <w:tcBorders>
              <w:top w:val="single" w:sz="4" w:space="0" w:color="000000"/>
              <w:left w:val="single" w:sz="4" w:space="0" w:color="000000"/>
              <w:bottom w:val="single" w:sz="4" w:space="0" w:color="000000"/>
              <w:right w:val="single" w:sz="5" w:space="0" w:color="000000"/>
            </w:tcBorders>
          </w:tcPr>
          <w:p w:rsidR="00810E28" w:rsidRDefault="0069342A">
            <w:pPr>
              <w:spacing w:line="259" w:lineRule="auto"/>
              <w:ind w:left="1" w:right="0" w:firstLine="0"/>
            </w:pPr>
            <w:r>
              <w:rPr>
                <w:b/>
                <w:sz w:val="22"/>
              </w:rPr>
              <w:t>Cost of Goods Sold</w:t>
            </w:r>
          </w:p>
        </w:tc>
        <w:tc>
          <w:tcPr>
            <w:tcW w:w="2250" w:type="dxa"/>
            <w:tcBorders>
              <w:top w:val="single" w:sz="4" w:space="0" w:color="000000"/>
              <w:left w:val="single" w:sz="5" w:space="0" w:color="000000"/>
              <w:bottom w:val="single" w:sz="4" w:space="0" w:color="000000"/>
              <w:right w:val="single" w:sz="4" w:space="0" w:color="000000"/>
            </w:tcBorders>
          </w:tcPr>
          <w:p w:rsidR="00810E28" w:rsidRDefault="0069342A">
            <w:pPr>
              <w:spacing w:line="259" w:lineRule="auto"/>
              <w:ind w:right="0" w:firstLine="0"/>
            </w:pPr>
            <w:r>
              <w:rPr>
                <w:sz w:val="22"/>
              </w:rPr>
              <w:t>13,717,000/19,315,00</w:t>
            </w:r>
          </w:p>
          <w:p w:rsidR="00810E28" w:rsidRDefault="0069342A">
            <w:pPr>
              <w:spacing w:line="259" w:lineRule="auto"/>
              <w:ind w:right="0" w:firstLine="0"/>
            </w:pPr>
            <w:r>
              <w:rPr>
                <w:sz w:val="22"/>
              </w:rPr>
              <w:t>0= 71.01%</w:t>
            </w:r>
          </w:p>
        </w:tc>
        <w:tc>
          <w:tcPr>
            <w:tcW w:w="2520" w:type="dxa"/>
            <w:tcBorders>
              <w:top w:val="single" w:sz="4" w:space="0" w:color="000000"/>
              <w:left w:val="single" w:sz="4" w:space="0" w:color="000000"/>
              <w:bottom w:val="single" w:sz="4" w:space="0" w:color="000000"/>
              <w:right w:val="single" w:sz="4" w:space="0" w:color="000000"/>
            </w:tcBorders>
          </w:tcPr>
          <w:p w:rsidR="00810E28" w:rsidRDefault="0069342A">
            <w:pPr>
              <w:spacing w:line="259" w:lineRule="auto"/>
              <w:ind w:right="0" w:firstLine="0"/>
            </w:pPr>
            <w:r>
              <w:rPr>
                <w:sz w:val="22"/>
              </w:rPr>
              <w:t xml:space="preserve">9,888,000/13,931,000= </w:t>
            </w:r>
          </w:p>
          <w:p w:rsidR="00810E28" w:rsidRDefault="0069342A">
            <w:pPr>
              <w:spacing w:line="259" w:lineRule="auto"/>
              <w:ind w:right="0" w:firstLine="0"/>
            </w:pPr>
            <w:r>
              <w:rPr>
                <w:sz w:val="22"/>
              </w:rPr>
              <w:t>70.98%</w:t>
            </w:r>
          </w:p>
        </w:tc>
        <w:tc>
          <w:tcPr>
            <w:tcW w:w="2530" w:type="dxa"/>
            <w:tcBorders>
              <w:top w:val="single" w:sz="4" w:space="0" w:color="000000"/>
              <w:left w:val="single" w:sz="4" w:space="0" w:color="000000"/>
              <w:bottom w:val="single" w:sz="4" w:space="0" w:color="000000"/>
              <w:right w:val="single" w:sz="5" w:space="0" w:color="000000"/>
            </w:tcBorders>
          </w:tcPr>
          <w:p w:rsidR="00810E28" w:rsidRDefault="0069342A">
            <w:pPr>
              <w:spacing w:line="259" w:lineRule="auto"/>
              <w:ind w:right="0" w:firstLine="0"/>
            </w:pPr>
            <w:r>
              <w:rPr>
                <w:sz w:val="22"/>
              </w:rPr>
              <w:t>Increase of  .03%</w:t>
            </w:r>
          </w:p>
        </w:tc>
      </w:tr>
      <w:tr w:rsidR="00810E28">
        <w:trPr>
          <w:trHeight w:val="516"/>
        </w:trPr>
        <w:tc>
          <w:tcPr>
            <w:tcW w:w="1729" w:type="dxa"/>
            <w:tcBorders>
              <w:top w:val="single" w:sz="4" w:space="0" w:color="000000"/>
              <w:left w:val="single" w:sz="4" w:space="0" w:color="000000"/>
              <w:bottom w:val="single" w:sz="4" w:space="0" w:color="000000"/>
              <w:right w:val="single" w:sz="5" w:space="0" w:color="000000"/>
            </w:tcBorders>
          </w:tcPr>
          <w:p w:rsidR="00810E28" w:rsidRDefault="0069342A">
            <w:pPr>
              <w:spacing w:line="259" w:lineRule="auto"/>
              <w:ind w:left="1" w:right="0" w:firstLine="0"/>
            </w:pPr>
            <w:r>
              <w:rPr>
                <w:b/>
                <w:sz w:val="22"/>
              </w:rPr>
              <w:t>Operating Expense</w:t>
            </w:r>
          </w:p>
        </w:tc>
        <w:tc>
          <w:tcPr>
            <w:tcW w:w="2250" w:type="dxa"/>
            <w:tcBorders>
              <w:top w:val="single" w:sz="4" w:space="0" w:color="000000"/>
              <w:left w:val="single" w:sz="5" w:space="0" w:color="000000"/>
              <w:bottom w:val="single" w:sz="4" w:space="0" w:color="000000"/>
              <w:right w:val="single" w:sz="4" w:space="0" w:color="000000"/>
            </w:tcBorders>
          </w:tcPr>
          <w:p w:rsidR="00810E28" w:rsidRDefault="0069342A">
            <w:pPr>
              <w:spacing w:line="259" w:lineRule="auto"/>
              <w:ind w:right="0" w:firstLine="0"/>
              <w:jc w:val="both"/>
            </w:pPr>
            <w:r>
              <w:rPr>
                <w:i/>
                <w:sz w:val="22"/>
              </w:rPr>
              <w:t>Unavailable on Income Statement</w:t>
            </w:r>
          </w:p>
        </w:tc>
        <w:tc>
          <w:tcPr>
            <w:tcW w:w="2520" w:type="dxa"/>
            <w:tcBorders>
              <w:top w:val="single" w:sz="4" w:space="0" w:color="000000"/>
              <w:left w:val="single" w:sz="4" w:space="0" w:color="000000"/>
              <w:bottom w:val="single" w:sz="4" w:space="0" w:color="000000"/>
              <w:right w:val="single" w:sz="4" w:space="0" w:color="000000"/>
            </w:tcBorders>
          </w:tcPr>
          <w:p w:rsidR="00810E28" w:rsidRDefault="0069342A">
            <w:pPr>
              <w:spacing w:line="259" w:lineRule="auto"/>
              <w:ind w:right="0" w:firstLine="0"/>
            </w:pPr>
            <w:r>
              <w:rPr>
                <w:i/>
                <w:sz w:val="22"/>
              </w:rPr>
              <w:t>Unavailable on Income Statement</w:t>
            </w:r>
          </w:p>
        </w:tc>
        <w:tc>
          <w:tcPr>
            <w:tcW w:w="2530" w:type="dxa"/>
            <w:tcBorders>
              <w:top w:val="single" w:sz="4" w:space="0" w:color="000000"/>
              <w:left w:val="single" w:sz="4" w:space="0" w:color="000000"/>
              <w:bottom w:val="single" w:sz="4" w:space="0" w:color="000000"/>
              <w:right w:val="single" w:sz="5" w:space="0" w:color="000000"/>
            </w:tcBorders>
          </w:tcPr>
          <w:p w:rsidR="00810E28" w:rsidRDefault="0069342A">
            <w:pPr>
              <w:spacing w:line="259" w:lineRule="auto"/>
              <w:ind w:left="103" w:right="0" w:firstLine="0"/>
              <w:jc w:val="center"/>
            </w:pPr>
            <w:r>
              <w:rPr>
                <w:sz w:val="22"/>
              </w:rPr>
              <w:t>-</w:t>
            </w:r>
          </w:p>
        </w:tc>
      </w:tr>
      <w:tr w:rsidR="00810E28">
        <w:trPr>
          <w:trHeight w:val="517"/>
        </w:trPr>
        <w:tc>
          <w:tcPr>
            <w:tcW w:w="1729" w:type="dxa"/>
            <w:tcBorders>
              <w:top w:val="single" w:sz="4" w:space="0" w:color="000000"/>
              <w:left w:val="single" w:sz="4" w:space="0" w:color="000000"/>
              <w:bottom w:val="single" w:sz="4" w:space="0" w:color="000000"/>
              <w:right w:val="single" w:sz="5" w:space="0" w:color="000000"/>
            </w:tcBorders>
          </w:tcPr>
          <w:p w:rsidR="00810E28" w:rsidRDefault="0069342A">
            <w:pPr>
              <w:spacing w:line="259" w:lineRule="auto"/>
              <w:ind w:left="1" w:right="0" w:firstLine="0"/>
            </w:pPr>
            <w:r>
              <w:rPr>
                <w:b/>
                <w:sz w:val="22"/>
              </w:rPr>
              <w:t xml:space="preserve">Interest </w:t>
            </w:r>
            <w:r>
              <w:rPr>
                <w:b/>
                <w:sz w:val="22"/>
              </w:rPr>
              <w:t>Expense</w:t>
            </w:r>
          </w:p>
        </w:tc>
        <w:tc>
          <w:tcPr>
            <w:tcW w:w="2250" w:type="dxa"/>
            <w:tcBorders>
              <w:top w:val="single" w:sz="4" w:space="0" w:color="000000"/>
              <w:left w:val="single" w:sz="5" w:space="0" w:color="000000"/>
              <w:bottom w:val="single" w:sz="4" w:space="0" w:color="000000"/>
              <w:right w:val="single" w:sz="4" w:space="0" w:color="000000"/>
            </w:tcBorders>
          </w:tcPr>
          <w:p w:rsidR="00810E28" w:rsidRDefault="0069342A">
            <w:pPr>
              <w:spacing w:line="259" w:lineRule="auto"/>
              <w:ind w:right="0" w:firstLine="0"/>
            </w:pPr>
            <w:r>
              <w:rPr>
                <w:sz w:val="22"/>
              </w:rPr>
              <w:t>$0</w:t>
            </w:r>
          </w:p>
        </w:tc>
        <w:tc>
          <w:tcPr>
            <w:tcW w:w="2520" w:type="dxa"/>
            <w:tcBorders>
              <w:top w:val="single" w:sz="4" w:space="0" w:color="000000"/>
              <w:left w:val="single" w:sz="4" w:space="0" w:color="000000"/>
              <w:bottom w:val="single" w:sz="4" w:space="0" w:color="000000"/>
              <w:right w:val="single" w:sz="4" w:space="0" w:color="000000"/>
            </w:tcBorders>
          </w:tcPr>
          <w:p w:rsidR="00810E28" w:rsidRDefault="0069342A">
            <w:pPr>
              <w:spacing w:line="259" w:lineRule="auto"/>
              <w:ind w:right="0" w:firstLine="0"/>
            </w:pPr>
            <w:r>
              <w:rPr>
                <w:sz w:val="22"/>
              </w:rPr>
              <w:t>$0</w:t>
            </w:r>
          </w:p>
        </w:tc>
        <w:tc>
          <w:tcPr>
            <w:tcW w:w="2530" w:type="dxa"/>
            <w:tcBorders>
              <w:top w:val="single" w:sz="4" w:space="0" w:color="000000"/>
              <w:left w:val="single" w:sz="4" w:space="0" w:color="000000"/>
              <w:bottom w:val="single" w:sz="4" w:space="0" w:color="000000"/>
              <w:right w:val="single" w:sz="5" w:space="0" w:color="000000"/>
            </w:tcBorders>
          </w:tcPr>
          <w:p w:rsidR="00810E28" w:rsidRDefault="0069342A">
            <w:pPr>
              <w:spacing w:line="259" w:lineRule="auto"/>
              <w:ind w:left="103" w:right="0" w:firstLine="0"/>
              <w:jc w:val="center"/>
            </w:pPr>
            <w:r>
              <w:rPr>
                <w:sz w:val="22"/>
              </w:rPr>
              <w:t>-</w:t>
            </w:r>
          </w:p>
        </w:tc>
      </w:tr>
    </w:tbl>
    <w:p w:rsidR="00810E28" w:rsidRDefault="0069342A">
      <w:pPr>
        <w:ind w:left="1730" w:right="0" w:firstLine="0"/>
      </w:pPr>
      <w:r>
        <w:lastRenderedPageBreak/>
        <w:t xml:space="preserve">Based on these numbers, and their changes from 2005, it looks like Apple may be having some trouble after all.  But there are still other analysis, such as the horizontal analysis, </w:t>
      </w:r>
      <w:r>
        <w:t xml:space="preserve">and ratios that will tell if Apple is really in trouble in the end.  Next a horizontal analysis will be performed to further investigate whether Apple is a good company to invest in. </w:t>
      </w:r>
    </w:p>
    <w:p w:rsidR="00810E28" w:rsidRDefault="0069342A">
      <w:pPr>
        <w:spacing w:line="259" w:lineRule="auto"/>
        <w:ind w:left="1730" w:right="0" w:firstLine="0"/>
      </w:pPr>
      <w:r>
        <w:t>Next is the horizontal analysis of Apple’s Balance sheets.</w:t>
      </w:r>
    </w:p>
    <w:tbl>
      <w:tblPr>
        <w:tblStyle w:val="TableGrid"/>
        <w:tblW w:w="9029" w:type="dxa"/>
        <w:tblInd w:w="1632" w:type="dxa"/>
        <w:tblCellMar>
          <w:top w:w="12" w:type="dxa"/>
          <w:left w:w="109" w:type="dxa"/>
          <w:bottom w:w="0" w:type="dxa"/>
          <w:right w:w="121" w:type="dxa"/>
        </w:tblCellMar>
        <w:tblLook w:val="04A0" w:firstRow="1" w:lastRow="0" w:firstColumn="1" w:lastColumn="0" w:noHBand="0" w:noVBand="1"/>
      </w:tblPr>
      <w:tblGrid>
        <w:gridCol w:w="1728"/>
        <w:gridCol w:w="2251"/>
        <w:gridCol w:w="2520"/>
        <w:gridCol w:w="2530"/>
      </w:tblGrid>
      <w:tr w:rsidR="00810E28">
        <w:trPr>
          <w:trHeight w:val="261"/>
        </w:trPr>
        <w:tc>
          <w:tcPr>
            <w:tcW w:w="1728" w:type="dxa"/>
            <w:tcBorders>
              <w:top w:val="single" w:sz="4" w:space="0" w:color="000000"/>
              <w:left w:val="single" w:sz="4" w:space="0" w:color="000000"/>
              <w:bottom w:val="single" w:sz="4" w:space="0" w:color="000000"/>
              <w:right w:val="single" w:sz="4" w:space="0" w:color="000000"/>
            </w:tcBorders>
          </w:tcPr>
          <w:p w:rsidR="00810E28" w:rsidRDefault="00810E28">
            <w:pPr>
              <w:spacing w:after="160" w:line="259" w:lineRule="auto"/>
              <w:ind w:right="0" w:firstLine="0"/>
            </w:pPr>
          </w:p>
        </w:tc>
        <w:tc>
          <w:tcPr>
            <w:tcW w:w="2251" w:type="dxa"/>
            <w:tcBorders>
              <w:top w:val="single" w:sz="4" w:space="0" w:color="000000"/>
              <w:left w:val="single" w:sz="4" w:space="0" w:color="000000"/>
              <w:bottom w:val="single" w:sz="4" w:space="0" w:color="000000"/>
              <w:right w:val="single" w:sz="5" w:space="0" w:color="000000"/>
            </w:tcBorders>
          </w:tcPr>
          <w:p w:rsidR="00810E28" w:rsidRDefault="0069342A">
            <w:pPr>
              <w:spacing w:line="259" w:lineRule="auto"/>
              <w:ind w:left="1" w:right="0" w:firstLine="0"/>
            </w:pPr>
            <w:r>
              <w:rPr>
                <w:b/>
                <w:sz w:val="22"/>
              </w:rPr>
              <w:t>2006</w:t>
            </w:r>
          </w:p>
        </w:tc>
        <w:tc>
          <w:tcPr>
            <w:tcW w:w="2520" w:type="dxa"/>
            <w:tcBorders>
              <w:top w:val="single" w:sz="4" w:space="0" w:color="000000"/>
              <w:left w:val="single" w:sz="5" w:space="0" w:color="000000"/>
              <w:bottom w:val="single" w:sz="4" w:space="0" w:color="000000"/>
              <w:right w:val="single" w:sz="5" w:space="0" w:color="000000"/>
            </w:tcBorders>
          </w:tcPr>
          <w:p w:rsidR="00810E28" w:rsidRDefault="0069342A">
            <w:pPr>
              <w:spacing w:line="259" w:lineRule="auto"/>
              <w:ind w:right="0" w:firstLine="0"/>
            </w:pPr>
            <w:r>
              <w:rPr>
                <w:b/>
                <w:sz w:val="22"/>
              </w:rPr>
              <w:t>2005</w:t>
            </w:r>
          </w:p>
        </w:tc>
        <w:tc>
          <w:tcPr>
            <w:tcW w:w="2530" w:type="dxa"/>
            <w:tcBorders>
              <w:top w:val="single" w:sz="4" w:space="0" w:color="000000"/>
              <w:left w:val="single" w:sz="5" w:space="0" w:color="000000"/>
              <w:bottom w:val="single" w:sz="4" w:space="0" w:color="000000"/>
              <w:right w:val="single" w:sz="5" w:space="0" w:color="000000"/>
            </w:tcBorders>
          </w:tcPr>
          <w:p w:rsidR="00810E28" w:rsidRDefault="0069342A">
            <w:pPr>
              <w:spacing w:line="259" w:lineRule="auto"/>
              <w:ind w:right="0" w:firstLine="0"/>
            </w:pPr>
            <w:r>
              <w:rPr>
                <w:b/>
                <w:sz w:val="22"/>
              </w:rPr>
              <w:t>Change from ’05 to ‘06</w:t>
            </w:r>
          </w:p>
        </w:tc>
      </w:tr>
      <w:tr w:rsidR="00810E28">
        <w:trPr>
          <w:trHeight w:val="516"/>
        </w:trPr>
        <w:tc>
          <w:tcPr>
            <w:tcW w:w="1728" w:type="dxa"/>
            <w:tcBorders>
              <w:top w:val="single" w:sz="4" w:space="0" w:color="000000"/>
              <w:left w:val="single" w:sz="4" w:space="0" w:color="000000"/>
              <w:bottom w:val="single" w:sz="4" w:space="0" w:color="000000"/>
              <w:right w:val="single" w:sz="4" w:space="0" w:color="000000"/>
            </w:tcBorders>
          </w:tcPr>
          <w:p w:rsidR="00810E28" w:rsidRDefault="0069342A">
            <w:pPr>
              <w:spacing w:line="259" w:lineRule="auto"/>
              <w:ind w:left="1" w:right="0" w:firstLine="0"/>
            </w:pPr>
            <w:r>
              <w:rPr>
                <w:b/>
                <w:sz w:val="22"/>
              </w:rPr>
              <w:t>Total Assets</w:t>
            </w:r>
          </w:p>
        </w:tc>
        <w:tc>
          <w:tcPr>
            <w:tcW w:w="2251" w:type="dxa"/>
            <w:tcBorders>
              <w:top w:val="single" w:sz="4" w:space="0" w:color="000000"/>
              <w:left w:val="single" w:sz="4" w:space="0" w:color="000000"/>
              <w:bottom w:val="single" w:sz="4" w:space="0" w:color="000000"/>
              <w:right w:val="single" w:sz="5" w:space="0" w:color="000000"/>
            </w:tcBorders>
          </w:tcPr>
          <w:p w:rsidR="00810E28" w:rsidRDefault="0069342A">
            <w:pPr>
              <w:spacing w:line="259" w:lineRule="auto"/>
              <w:ind w:left="1" w:right="0" w:firstLine="0"/>
            </w:pPr>
            <w:r>
              <w:rPr>
                <w:sz w:val="22"/>
              </w:rPr>
              <w:t>17,205,000</w:t>
            </w:r>
          </w:p>
        </w:tc>
        <w:tc>
          <w:tcPr>
            <w:tcW w:w="2520" w:type="dxa"/>
            <w:tcBorders>
              <w:top w:val="single" w:sz="4" w:space="0" w:color="000000"/>
              <w:left w:val="single" w:sz="5" w:space="0" w:color="000000"/>
              <w:bottom w:val="single" w:sz="4" w:space="0" w:color="000000"/>
              <w:right w:val="single" w:sz="5" w:space="0" w:color="000000"/>
            </w:tcBorders>
          </w:tcPr>
          <w:p w:rsidR="00810E28" w:rsidRDefault="0069342A">
            <w:pPr>
              <w:spacing w:line="259" w:lineRule="auto"/>
              <w:ind w:right="0" w:firstLine="0"/>
            </w:pPr>
            <w:r>
              <w:rPr>
                <w:sz w:val="22"/>
              </w:rPr>
              <w:t>11,551,000</w:t>
            </w:r>
          </w:p>
        </w:tc>
        <w:tc>
          <w:tcPr>
            <w:tcW w:w="2530" w:type="dxa"/>
            <w:tcBorders>
              <w:top w:val="single" w:sz="4" w:space="0" w:color="000000"/>
              <w:left w:val="single" w:sz="5" w:space="0" w:color="000000"/>
              <w:bottom w:val="single" w:sz="4" w:space="0" w:color="000000"/>
              <w:right w:val="single" w:sz="5" w:space="0" w:color="000000"/>
            </w:tcBorders>
          </w:tcPr>
          <w:p w:rsidR="00810E28" w:rsidRDefault="0069342A">
            <w:pPr>
              <w:spacing w:line="259" w:lineRule="auto"/>
              <w:ind w:right="0" w:firstLine="0"/>
              <w:jc w:val="both"/>
            </w:pPr>
            <w:r>
              <w:rPr>
                <w:sz w:val="22"/>
              </w:rPr>
              <w:t>Amount: $5,694,000 Percent: 49.29%</w:t>
            </w:r>
          </w:p>
        </w:tc>
      </w:tr>
      <w:tr w:rsidR="00810E28">
        <w:trPr>
          <w:trHeight w:val="516"/>
        </w:trPr>
        <w:tc>
          <w:tcPr>
            <w:tcW w:w="1728" w:type="dxa"/>
            <w:tcBorders>
              <w:top w:val="single" w:sz="4" w:space="0" w:color="000000"/>
              <w:left w:val="single" w:sz="4" w:space="0" w:color="000000"/>
              <w:bottom w:val="single" w:sz="4" w:space="0" w:color="000000"/>
              <w:right w:val="single" w:sz="4" w:space="0" w:color="000000"/>
            </w:tcBorders>
          </w:tcPr>
          <w:p w:rsidR="00810E28" w:rsidRDefault="0069342A">
            <w:pPr>
              <w:spacing w:line="259" w:lineRule="auto"/>
              <w:ind w:left="1" w:right="0" w:firstLine="0"/>
            </w:pPr>
            <w:r>
              <w:rPr>
                <w:b/>
                <w:sz w:val="22"/>
              </w:rPr>
              <w:t>Total Accounts Receivable</w:t>
            </w:r>
          </w:p>
        </w:tc>
        <w:tc>
          <w:tcPr>
            <w:tcW w:w="2251" w:type="dxa"/>
            <w:tcBorders>
              <w:top w:val="single" w:sz="4" w:space="0" w:color="000000"/>
              <w:left w:val="single" w:sz="4" w:space="0" w:color="000000"/>
              <w:bottom w:val="single" w:sz="4" w:space="0" w:color="000000"/>
              <w:right w:val="single" w:sz="5" w:space="0" w:color="000000"/>
            </w:tcBorders>
          </w:tcPr>
          <w:p w:rsidR="00810E28" w:rsidRDefault="0069342A">
            <w:pPr>
              <w:spacing w:line="259" w:lineRule="auto"/>
              <w:ind w:left="1" w:right="0" w:firstLine="0"/>
            </w:pPr>
            <w:r>
              <w:rPr>
                <w:sz w:val="22"/>
              </w:rPr>
              <w:t>3,452,000</w:t>
            </w:r>
          </w:p>
        </w:tc>
        <w:tc>
          <w:tcPr>
            <w:tcW w:w="2520" w:type="dxa"/>
            <w:tcBorders>
              <w:top w:val="single" w:sz="4" w:space="0" w:color="000000"/>
              <w:left w:val="single" w:sz="5" w:space="0" w:color="000000"/>
              <w:bottom w:val="single" w:sz="4" w:space="0" w:color="000000"/>
              <w:right w:val="single" w:sz="5" w:space="0" w:color="000000"/>
            </w:tcBorders>
          </w:tcPr>
          <w:p w:rsidR="00810E28" w:rsidRDefault="0069342A">
            <w:pPr>
              <w:spacing w:line="259" w:lineRule="auto"/>
              <w:ind w:right="0" w:firstLine="0"/>
            </w:pPr>
            <w:r>
              <w:rPr>
                <w:sz w:val="22"/>
              </w:rPr>
              <w:t>1,226,000</w:t>
            </w:r>
          </w:p>
        </w:tc>
        <w:tc>
          <w:tcPr>
            <w:tcW w:w="2530" w:type="dxa"/>
            <w:tcBorders>
              <w:top w:val="single" w:sz="4" w:space="0" w:color="000000"/>
              <w:left w:val="single" w:sz="5" w:space="0" w:color="000000"/>
              <w:bottom w:val="single" w:sz="4" w:space="0" w:color="000000"/>
              <w:right w:val="single" w:sz="5" w:space="0" w:color="000000"/>
            </w:tcBorders>
          </w:tcPr>
          <w:p w:rsidR="00810E28" w:rsidRDefault="0069342A">
            <w:pPr>
              <w:spacing w:line="259" w:lineRule="auto"/>
              <w:ind w:right="0" w:firstLine="0"/>
              <w:jc w:val="both"/>
            </w:pPr>
            <w:r>
              <w:rPr>
                <w:sz w:val="22"/>
              </w:rPr>
              <w:t>Amount: $2,226,000 Percent: 181.57%</w:t>
            </w:r>
          </w:p>
        </w:tc>
      </w:tr>
      <w:tr w:rsidR="00810E28">
        <w:trPr>
          <w:trHeight w:val="516"/>
        </w:trPr>
        <w:tc>
          <w:tcPr>
            <w:tcW w:w="1728" w:type="dxa"/>
            <w:tcBorders>
              <w:top w:val="single" w:sz="4" w:space="0" w:color="000000"/>
              <w:left w:val="single" w:sz="4" w:space="0" w:color="000000"/>
              <w:bottom w:val="single" w:sz="4" w:space="0" w:color="000000"/>
              <w:right w:val="single" w:sz="4" w:space="0" w:color="000000"/>
            </w:tcBorders>
          </w:tcPr>
          <w:p w:rsidR="00810E28" w:rsidRDefault="0069342A">
            <w:pPr>
              <w:spacing w:line="259" w:lineRule="auto"/>
              <w:ind w:left="1" w:right="0" w:firstLine="0"/>
            </w:pPr>
            <w:r>
              <w:rPr>
                <w:b/>
                <w:sz w:val="22"/>
              </w:rPr>
              <w:t>Current Liabilities</w:t>
            </w:r>
          </w:p>
        </w:tc>
        <w:tc>
          <w:tcPr>
            <w:tcW w:w="2251" w:type="dxa"/>
            <w:tcBorders>
              <w:top w:val="single" w:sz="4" w:space="0" w:color="000000"/>
              <w:left w:val="single" w:sz="4" w:space="0" w:color="000000"/>
              <w:bottom w:val="single" w:sz="4" w:space="0" w:color="000000"/>
              <w:right w:val="single" w:sz="5" w:space="0" w:color="000000"/>
            </w:tcBorders>
          </w:tcPr>
          <w:p w:rsidR="00810E28" w:rsidRDefault="0069342A">
            <w:pPr>
              <w:spacing w:line="259" w:lineRule="auto"/>
              <w:ind w:left="1" w:right="0" w:firstLine="0"/>
            </w:pPr>
            <w:r>
              <w:rPr>
                <w:sz w:val="22"/>
              </w:rPr>
              <w:t>6,471,000</w:t>
            </w:r>
          </w:p>
        </w:tc>
        <w:tc>
          <w:tcPr>
            <w:tcW w:w="2520" w:type="dxa"/>
            <w:tcBorders>
              <w:top w:val="single" w:sz="4" w:space="0" w:color="000000"/>
              <w:left w:val="single" w:sz="5" w:space="0" w:color="000000"/>
              <w:bottom w:val="single" w:sz="4" w:space="0" w:color="000000"/>
              <w:right w:val="single" w:sz="5" w:space="0" w:color="000000"/>
            </w:tcBorders>
          </w:tcPr>
          <w:p w:rsidR="00810E28" w:rsidRDefault="0069342A">
            <w:pPr>
              <w:spacing w:line="259" w:lineRule="auto"/>
              <w:ind w:right="0" w:firstLine="0"/>
            </w:pPr>
            <w:r>
              <w:rPr>
                <w:sz w:val="22"/>
              </w:rPr>
              <w:t>3,484,000</w:t>
            </w:r>
          </w:p>
        </w:tc>
        <w:tc>
          <w:tcPr>
            <w:tcW w:w="2530" w:type="dxa"/>
            <w:tcBorders>
              <w:top w:val="single" w:sz="4" w:space="0" w:color="000000"/>
              <w:left w:val="single" w:sz="5" w:space="0" w:color="000000"/>
              <w:bottom w:val="single" w:sz="4" w:space="0" w:color="000000"/>
              <w:right w:val="single" w:sz="5" w:space="0" w:color="000000"/>
            </w:tcBorders>
          </w:tcPr>
          <w:p w:rsidR="00810E28" w:rsidRDefault="0069342A">
            <w:pPr>
              <w:spacing w:line="259" w:lineRule="auto"/>
              <w:ind w:right="0" w:firstLine="0"/>
              <w:jc w:val="both"/>
            </w:pPr>
            <w:r>
              <w:rPr>
                <w:sz w:val="22"/>
              </w:rPr>
              <w:t>Amount: $2,987,000 Percent: 85.73%</w:t>
            </w:r>
          </w:p>
        </w:tc>
      </w:tr>
      <w:tr w:rsidR="00810E28">
        <w:trPr>
          <w:trHeight w:val="517"/>
        </w:trPr>
        <w:tc>
          <w:tcPr>
            <w:tcW w:w="1728" w:type="dxa"/>
            <w:tcBorders>
              <w:top w:val="single" w:sz="4" w:space="0" w:color="000000"/>
              <w:left w:val="single" w:sz="4" w:space="0" w:color="000000"/>
              <w:bottom w:val="single" w:sz="4" w:space="0" w:color="000000"/>
              <w:right w:val="single" w:sz="4" w:space="0" w:color="000000"/>
            </w:tcBorders>
          </w:tcPr>
          <w:p w:rsidR="00810E28" w:rsidRDefault="0069342A">
            <w:pPr>
              <w:spacing w:line="259" w:lineRule="auto"/>
              <w:ind w:left="1" w:right="0" w:firstLine="0"/>
            </w:pPr>
            <w:r>
              <w:rPr>
                <w:b/>
                <w:sz w:val="22"/>
              </w:rPr>
              <w:t>Total Liabilities</w:t>
            </w:r>
          </w:p>
        </w:tc>
        <w:tc>
          <w:tcPr>
            <w:tcW w:w="2251" w:type="dxa"/>
            <w:tcBorders>
              <w:top w:val="single" w:sz="4" w:space="0" w:color="000000"/>
              <w:left w:val="single" w:sz="4" w:space="0" w:color="000000"/>
              <w:bottom w:val="single" w:sz="4" w:space="0" w:color="000000"/>
              <w:right w:val="single" w:sz="5" w:space="0" w:color="000000"/>
            </w:tcBorders>
          </w:tcPr>
          <w:p w:rsidR="00810E28" w:rsidRDefault="0069342A">
            <w:pPr>
              <w:spacing w:line="259" w:lineRule="auto"/>
              <w:ind w:left="1" w:right="0" w:firstLine="0"/>
            </w:pPr>
            <w:r>
              <w:rPr>
                <w:sz w:val="22"/>
              </w:rPr>
              <w:t>$7,221,000</w:t>
            </w:r>
          </w:p>
        </w:tc>
        <w:tc>
          <w:tcPr>
            <w:tcW w:w="2520" w:type="dxa"/>
            <w:tcBorders>
              <w:top w:val="single" w:sz="4" w:space="0" w:color="000000"/>
              <w:left w:val="single" w:sz="5" w:space="0" w:color="000000"/>
              <w:bottom w:val="single" w:sz="4" w:space="0" w:color="000000"/>
              <w:right w:val="single" w:sz="5" w:space="0" w:color="000000"/>
            </w:tcBorders>
          </w:tcPr>
          <w:p w:rsidR="00810E28" w:rsidRDefault="0069342A">
            <w:pPr>
              <w:spacing w:line="259" w:lineRule="auto"/>
              <w:ind w:right="0" w:firstLine="0"/>
            </w:pPr>
            <w:r>
              <w:rPr>
                <w:sz w:val="22"/>
              </w:rPr>
              <w:t>$4,085,000</w:t>
            </w:r>
          </w:p>
        </w:tc>
        <w:tc>
          <w:tcPr>
            <w:tcW w:w="2530" w:type="dxa"/>
            <w:tcBorders>
              <w:top w:val="single" w:sz="4" w:space="0" w:color="000000"/>
              <w:left w:val="single" w:sz="5" w:space="0" w:color="000000"/>
              <w:bottom w:val="single" w:sz="4" w:space="0" w:color="000000"/>
              <w:right w:val="single" w:sz="5" w:space="0" w:color="000000"/>
            </w:tcBorders>
          </w:tcPr>
          <w:p w:rsidR="00810E28" w:rsidRDefault="0069342A">
            <w:pPr>
              <w:spacing w:line="259" w:lineRule="auto"/>
              <w:ind w:right="0" w:firstLine="0"/>
              <w:jc w:val="both"/>
            </w:pPr>
            <w:r>
              <w:rPr>
                <w:sz w:val="22"/>
              </w:rPr>
              <w:t>Amount: $3,136,000 Percent: 76.77%</w:t>
            </w:r>
          </w:p>
        </w:tc>
      </w:tr>
    </w:tbl>
    <w:p w:rsidR="00810E28" w:rsidRDefault="0069342A">
      <w:pPr>
        <w:ind w:left="1730" w:right="0"/>
      </w:pPr>
      <w:r>
        <w:t xml:space="preserve">Again, based off these numbers, it may not necessarily be the best idea investing in Apple, unless new, more recent numbers show their financial records to be improving </w:t>
      </w:r>
      <w:r>
        <w:t xml:space="preserve">again.  While </w:t>
      </w:r>
      <w:proofErr w:type="spellStart"/>
      <w:proofErr w:type="gramStart"/>
      <w:r>
        <w:t>its</w:t>
      </w:r>
      <w:proofErr w:type="spellEnd"/>
      <w:proofErr w:type="gramEnd"/>
      <w:r>
        <w:t xml:space="preserve"> good that their total assets are up 50%, there liabilities are also up 76%, which could pose a big threat to the company.  Lastly, it is important to look at a few more ratios to help determine Apple’s financial standings.  These ratios a</w:t>
      </w:r>
      <w:r>
        <w:t>re the ratios of short-term liquidity, long-term solvency, evaluation of profitability, and evaluation of market performance.</w:t>
      </w:r>
    </w:p>
    <w:p w:rsidR="00810E28" w:rsidRDefault="0069342A">
      <w:pPr>
        <w:ind w:left="1730" w:right="0"/>
      </w:pPr>
      <w:r>
        <w:t xml:space="preserve">The current ratio, which shows the current assets that are available to pay the </w:t>
      </w:r>
      <w:proofErr w:type="spellStart"/>
      <w:r>
        <w:t>companies</w:t>
      </w:r>
      <w:proofErr w:type="spellEnd"/>
      <w:r>
        <w:t xml:space="preserve"> current liabilities, is 2.2 times, and 2</w:t>
      </w:r>
      <w:r>
        <w:t xml:space="preserve">.9 times in 2005.  The liquid assets available to pay current liabilities is known as the quick ratio, which is 2.09 times. Accounts receivable turnover gives the number of times receivables are turned into cash during the period.  For Apple, this is 8.26 </w:t>
      </w:r>
      <w:r>
        <w:t xml:space="preserve">times for the year ended 2006.  Days’ sales in receivables, which is 142.19 times, shows how many days’ sales remain uncollected in accounts receivable.  The inventory turnover is calculated by dividing the cost of </w:t>
      </w:r>
      <w:proofErr w:type="spellStart"/>
      <w:r>
        <w:t>good</w:t>
      </w:r>
      <w:proofErr w:type="spellEnd"/>
      <w:r>
        <w:t xml:space="preserve"> sold by average inventory.  For Appl</w:t>
      </w:r>
      <w:r>
        <w:t xml:space="preserve">e, the inventory turnover for 2006 is 63.07 times. </w:t>
      </w:r>
    </w:p>
    <w:p w:rsidR="00810E28" w:rsidRDefault="0069342A">
      <w:pPr>
        <w:spacing w:after="236" w:line="259" w:lineRule="auto"/>
        <w:ind w:left="1730" w:right="0" w:firstLine="0"/>
      </w:pPr>
      <w:r>
        <w:t>All these ratios evaluated short-term liquidity.</w:t>
      </w:r>
    </w:p>
    <w:p w:rsidR="00810E28" w:rsidRDefault="0069342A">
      <w:pPr>
        <w:ind w:left="1730" w:right="0"/>
      </w:pPr>
      <w:r>
        <w:lastRenderedPageBreak/>
        <w:t xml:space="preserve">Next comes evaluating long-term solvency.  The debt ratio is one of the few ratios </w:t>
      </w:r>
      <w:r>
        <w:t xml:space="preserve">that are better if </w:t>
      </w:r>
      <w:proofErr w:type="gramStart"/>
      <w:r>
        <w:t>its</w:t>
      </w:r>
      <w:proofErr w:type="gramEnd"/>
      <w:r>
        <w:t xml:space="preserve"> lower then prior years.  This is because it shows the percent of total assets creditors provide.  For year ended 2006, creditors provided 41.97%, of Apple’s assets, an increase of 6.61% from the prior year.  The other ratio to evalua</w:t>
      </w:r>
      <w:r>
        <w:t>te long-term solvency is the times interest earned ratio, measuring the coverage of interest expense by the current operating income, which is able to be calculated, because the interest expense for the year is zero.</w:t>
      </w:r>
    </w:p>
    <w:p w:rsidR="00810E28" w:rsidRDefault="0069342A">
      <w:pPr>
        <w:ind w:left="1730" w:right="0"/>
      </w:pPr>
      <w:r>
        <w:t>Third comes the evaluation of profitabi</w:t>
      </w:r>
      <w:r>
        <w:t xml:space="preserve">lity.  The profit margin is percent showing how many sales dollars contribute to net income, which is 10.29%, up from 9.58% in ‘05. Total asset turnover, is measured by net sales divided by average total assets.  In this period, it’s equal to 1.34 times.  </w:t>
      </w:r>
      <w:r>
        <w:t xml:space="preserve">The return on total assets is equal to .14 times, while the return on </w:t>
      </w:r>
      <w:proofErr w:type="spellStart"/>
      <w:proofErr w:type="gramStart"/>
      <w:r>
        <w:t>owners</w:t>
      </w:r>
      <w:proofErr w:type="spellEnd"/>
      <w:proofErr w:type="gramEnd"/>
      <w:r>
        <w:t xml:space="preserve"> equity was .23 times.  Lastly, according to Yahoo Finance, earnings per share were equal to 2.76.</w:t>
      </w:r>
    </w:p>
    <w:p w:rsidR="00810E28" w:rsidRDefault="0069342A">
      <w:pPr>
        <w:spacing w:after="3" w:line="265" w:lineRule="auto"/>
        <w:ind w:left="10" w:right="99" w:hanging="10"/>
        <w:jc w:val="right"/>
      </w:pPr>
      <w:r>
        <w:t>The last two ratios measure the performance of the market shares.  Apple’s Price/</w:t>
      </w:r>
    </w:p>
    <w:p w:rsidR="00810E28" w:rsidRDefault="0069342A">
      <w:pPr>
        <w:ind w:left="1730" w:right="0" w:firstLine="0"/>
      </w:pPr>
      <w:proofErr w:type="gramStart"/>
      <w:r>
        <w:t>earnings</w:t>
      </w:r>
      <w:proofErr w:type="gramEnd"/>
      <w:r>
        <w:t xml:space="preserve"> (P/E) ratio is equal to 32.04 times, or how many times the earnings per share sells for.  Dividend yield measures the performance for the </w:t>
      </w:r>
      <w:proofErr w:type="spellStart"/>
      <w:r>
        <w:t>dividend’s</w:t>
      </w:r>
      <w:proofErr w:type="spellEnd"/>
      <w:r>
        <w:t xml:space="preserve"> paid.  This isn’t calculated for Apple, as they have not paid dividends at all in the past few ye</w:t>
      </w:r>
      <w:r>
        <w:t>ars.</w:t>
      </w:r>
    </w:p>
    <w:p w:rsidR="00810E28" w:rsidRDefault="0069342A">
      <w:pPr>
        <w:ind w:left="1730" w:right="0"/>
      </w:pPr>
      <w:r>
        <w:t xml:space="preserve">Overall, Apple appears to be a successful company, seeing that it has many great new products coming out in the future, and there sales are very well.  However from an investing standpoint, there are definitely some weak points, as is likely the case </w:t>
      </w:r>
      <w:r>
        <w:t>with many companies.  For example, from 2005 to 2006, Apple’s total assets raised significantly.  At the same time however, the company’s total liabilities raised even more. While this isn’t good, it’s not necessarily bad either.  Upon looking at the curre</w:t>
      </w:r>
      <w:r>
        <w:t>nt ratio of 2.2 times, this shows that Apple has twice as many current assets available to pay off their current liabilities!  So while ideally assets would rise while liabilities remained the same, Assets still raised enough to completely pay for the rise</w:t>
      </w:r>
      <w:r>
        <w:t xml:space="preserve"> in liabilities.</w:t>
      </w:r>
    </w:p>
    <w:p w:rsidR="00810E28" w:rsidRDefault="0069342A">
      <w:pPr>
        <w:ind w:left="1730" w:right="0"/>
      </w:pPr>
      <w:r>
        <w:t xml:space="preserve">Another case showing Apple may not be the best company to invest in is how their debt ratio increased 6% from 2005 to 2006.  This means that creditors have </w:t>
      </w:r>
      <w:r>
        <w:lastRenderedPageBreak/>
        <w:t>provided more total assets, which is not good.  Instead, it’s good to see this numb</w:t>
      </w:r>
      <w:r>
        <w:t>er decrease from year to year.  On the other hand however, 0.71% from the following year.  While that may not see like a lot, the increase is still good for the company.</w:t>
      </w:r>
    </w:p>
    <w:p w:rsidR="00810E28" w:rsidRDefault="0069342A">
      <w:pPr>
        <w:ind w:left="1730" w:right="0"/>
      </w:pPr>
      <w:r>
        <w:t>All in all, Apple isn’t a terrible company to invest in, but not a great company to in</w:t>
      </w:r>
      <w:r>
        <w:t>vest in either.  They have many great products, such as the well-known iPod, and the highly anticipated iPhone.  Yet after closely looking into their recent financial statements, it appears that they definitely have some areas they need to improve upon, in</w:t>
      </w:r>
      <w:r>
        <w:t xml:space="preserve"> order to make it less of a risk in investing in such company.</w:t>
      </w:r>
    </w:p>
    <w:p w:rsidR="00810E28" w:rsidRDefault="0069342A">
      <w:pPr>
        <w:spacing w:line="259" w:lineRule="auto"/>
        <w:ind w:left="2462" w:right="0" w:firstLine="0"/>
        <w:jc w:val="center"/>
      </w:pPr>
      <w:r>
        <w:t>Bibliography:</w:t>
      </w:r>
    </w:p>
    <w:p w:rsidR="00810E28" w:rsidRDefault="0069342A">
      <w:pPr>
        <w:numPr>
          <w:ilvl w:val="0"/>
          <w:numId w:val="1"/>
        </w:numPr>
        <w:spacing w:after="3" w:line="265" w:lineRule="auto"/>
        <w:ind w:right="0" w:hanging="240"/>
      </w:pPr>
      <w:r>
        <w:rPr>
          <w:u w:val="single" w:color="000000"/>
        </w:rPr>
        <w:t>Yahoo Finance</w:t>
      </w:r>
      <w:r>
        <w:t xml:space="preserve">. 6 Mar 2007.  Yahoo, </w:t>
      </w:r>
      <w:proofErr w:type="spellStart"/>
      <w:r>
        <w:t>inc.</w:t>
      </w:r>
      <w:proofErr w:type="spellEnd"/>
      <w:r>
        <w:t xml:space="preserve"> 6 Mar 2007.   &lt;http://finance.yahoo.com/q?</w:t>
      </w:r>
    </w:p>
    <w:p w:rsidR="00810E28" w:rsidRDefault="0069342A">
      <w:pPr>
        <w:spacing w:after="236" w:line="259" w:lineRule="auto"/>
        <w:ind w:left="2465" w:right="0" w:firstLine="0"/>
      </w:pPr>
      <w:r>
        <w:t>s=AAPL&gt;</w:t>
      </w:r>
    </w:p>
    <w:p w:rsidR="00810E28" w:rsidRDefault="0069342A">
      <w:pPr>
        <w:numPr>
          <w:ilvl w:val="0"/>
          <w:numId w:val="1"/>
        </w:numPr>
        <w:spacing w:after="236" w:line="259" w:lineRule="auto"/>
        <w:ind w:right="0" w:hanging="240"/>
      </w:pPr>
      <w:r>
        <w:t xml:space="preserve">“Investor Relations” </w:t>
      </w:r>
      <w:r>
        <w:rPr>
          <w:u w:val="single" w:color="000000"/>
        </w:rPr>
        <w:t>Apple</w:t>
      </w:r>
      <w:r>
        <w:t>. 6 Mar 2007 &lt;http://www.apple.com/investor/&gt;</w:t>
      </w:r>
    </w:p>
    <w:p w:rsidR="00810E28" w:rsidRDefault="0069342A" w:rsidP="009E6C13">
      <w:pPr>
        <w:numPr>
          <w:ilvl w:val="0"/>
          <w:numId w:val="1"/>
        </w:numPr>
        <w:spacing w:after="11944" w:line="226" w:lineRule="auto"/>
        <w:ind w:right="0" w:hanging="240"/>
      </w:pPr>
      <w:r>
        <w:t xml:space="preserve">“Form 10-K” </w:t>
      </w:r>
      <w:r>
        <w:rPr>
          <w:u w:val="single" w:color="000000"/>
        </w:rPr>
        <w:t>United States Securities and Exchange Commission</w:t>
      </w:r>
      <w:r>
        <w:t>. 5 Mar 2007. &lt;http:// www.sec.gov/Archives/edgar/data/320193/000110465906084288/a0625759_210k.htm&gt;</w:t>
      </w:r>
    </w:p>
    <w:sectPr w:rsidR="00810E28">
      <w:footerReference w:type="even" r:id="rId7"/>
      <w:footerReference w:type="default" r:id="rId8"/>
      <w:footerReference w:type="first" r:id="rId9"/>
      <w:pgSz w:w="12240" w:h="15840"/>
      <w:pgMar w:top="387" w:right="1796" w:bottom="20" w:left="57" w:header="720" w:footer="7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9342A" w:rsidRDefault="0069342A">
      <w:pPr>
        <w:spacing w:line="240" w:lineRule="auto"/>
      </w:pPr>
      <w:r>
        <w:separator/>
      </w:r>
    </w:p>
  </w:endnote>
  <w:endnote w:type="continuationSeparator" w:id="0">
    <w:p w:rsidR="0069342A" w:rsidRDefault="006934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0E28" w:rsidRDefault="0069342A">
    <w:pPr>
      <w:spacing w:after="367" w:line="259" w:lineRule="auto"/>
      <w:ind w:left="567" w:right="0" w:firstLine="0"/>
    </w:pPr>
    <w:r>
      <w:rPr>
        <w:rFonts w:ascii="Times New Roman" w:eastAsia="Times New Roman" w:hAnsi="Times New Roman" w:cs="Times New Roman"/>
        <w:sz w:val="16"/>
      </w:rPr>
      <w:t>This study source was downloaded by 100000845185606 from CourseHero.com on 04-11-2022 01:30:50 GMT -05:00</w:t>
    </w:r>
  </w:p>
  <w:p w:rsidR="00810E28" w:rsidRDefault="0069342A">
    <w:pPr>
      <w:spacing w:line="259" w:lineRule="auto"/>
      <w:ind w:left="567" w:right="0" w:firstLine="0"/>
    </w:pPr>
    <w:r>
      <w:rPr>
        <w:rFonts w:ascii="Times New Roman" w:eastAsia="Times New Roman" w:hAnsi="Times New Roman" w:cs="Times New Roman"/>
        <w:sz w:val="16"/>
      </w:rPr>
      <w:t>https://www.coursehero.com/file/42713/Accounting-Research-Paper-on-Apple/</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0E28" w:rsidRDefault="00810E28">
    <w:pPr>
      <w:spacing w:line="259" w:lineRule="auto"/>
      <w:ind w:left="567" w:right="0"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0E28" w:rsidRDefault="0069342A">
    <w:pPr>
      <w:spacing w:after="367" w:line="259" w:lineRule="auto"/>
      <w:ind w:left="567" w:right="0" w:firstLine="0"/>
    </w:pPr>
    <w:r>
      <w:rPr>
        <w:rFonts w:ascii="Times New Roman" w:eastAsia="Times New Roman" w:hAnsi="Times New Roman" w:cs="Times New Roman"/>
        <w:sz w:val="16"/>
      </w:rPr>
      <w:t>This study source was downloaded by 100000845185606 from CourseHero.com on 04-11-2022 01:30:50 GMT -05:00</w:t>
    </w:r>
  </w:p>
  <w:p w:rsidR="00810E28" w:rsidRDefault="0069342A">
    <w:pPr>
      <w:spacing w:line="259" w:lineRule="auto"/>
      <w:ind w:left="567" w:right="0" w:firstLine="0"/>
    </w:pPr>
    <w:r>
      <w:rPr>
        <w:rFonts w:ascii="Times New Roman" w:eastAsia="Times New Roman" w:hAnsi="Times New Roman" w:cs="Times New Roman"/>
        <w:sz w:val="16"/>
      </w:rPr>
      <w:t>https://www</w:t>
    </w:r>
    <w:r>
      <w:rPr>
        <w:rFonts w:ascii="Times New Roman" w:eastAsia="Times New Roman" w:hAnsi="Times New Roman" w:cs="Times New Roman"/>
        <w:sz w:val="16"/>
      </w:rPr>
      <w:t>.coursehero.com/file/42713/Accounting-Research-Paper-on-Apple/</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9342A" w:rsidRDefault="0069342A">
      <w:pPr>
        <w:spacing w:line="240" w:lineRule="auto"/>
      </w:pPr>
      <w:r>
        <w:separator/>
      </w:r>
    </w:p>
  </w:footnote>
  <w:footnote w:type="continuationSeparator" w:id="0">
    <w:p w:rsidR="0069342A" w:rsidRDefault="0069342A">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99E2527"/>
    <w:multiLevelType w:val="hybridMultilevel"/>
    <w:tmpl w:val="0D3C2096"/>
    <w:lvl w:ilvl="0" w:tplc="A3DA5FA2">
      <w:start w:val="1"/>
      <w:numFmt w:val="decimal"/>
      <w:lvlText w:val="%1."/>
      <w:lvlJc w:val="left"/>
      <w:pPr>
        <w:ind w:left="197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2C24CB62">
      <w:start w:val="1"/>
      <w:numFmt w:val="lowerLetter"/>
      <w:lvlText w:val="%2"/>
      <w:lvlJc w:val="left"/>
      <w:pPr>
        <w:ind w:left="282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14A0B6EA">
      <w:start w:val="1"/>
      <w:numFmt w:val="lowerRoman"/>
      <w:lvlText w:val="%3"/>
      <w:lvlJc w:val="left"/>
      <w:pPr>
        <w:ind w:left="354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D876D3A2">
      <w:start w:val="1"/>
      <w:numFmt w:val="decimal"/>
      <w:lvlText w:val="%4"/>
      <w:lvlJc w:val="left"/>
      <w:pPr>
        <w:ind w:left="426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8D3E2AE4">
      <w:start w:val="1"/>
      <w:numFmt w:val="lowerLetter"/>
      <w:lvlText w:val="%5"/>
      <w:lvlJc w:val="left"/>
      <w:pPr>
        <w:ind w:left="498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BBEE519E">
      <w:start w:val="1"/>
      <w:numFmt w:val="lowerRoman"/>
      <w:lvlText w:val="%6"/>
      <w:lvlJc w:val="left"/>
      <w:pPr>
        <w:ind w:left="570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8A344CDC">
      <w:start w:val="1"/>
      <w:numFmt w:val="decimal"/>
      <w:lvlText w:val="%7"/>
      <w:lvlJc w:val="left"/>
      <w:pPr>
        <w:ind w:left="642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EE0AB740">
      <w:start w:val="1"/>
      <w:numFmt w:val="lowerLetter"/>
      <w:lvlText w:val="%8"/>
      <w:lvlJc w:val="left"/>
      <w:pPr>
        <w:ind w:left="714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B2ACE1C8">
      <w:start w:val="1"/>
      <w:numFmt w:val="lowerRoman"/>
      <w:lvlText w:val="%9"/>
      <w:lvlJc w:val="left"/>
      <w:pPr>
        <w:ind w:left="786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0E28"/>
    <w:rsid w:val="0069342A"/>
    <w:rsid w:val="00810E28"/>
    <w:rsid w:val="009E6C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22C07EA-1498-4B8F-84D2-6525000B1A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452" w:lineRule="auto"/>
      <w:ind w:right="1" w:firstLine="7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1396</Words>
  <Characters>7963</Characters>
  <Application>Microsoft Office Word</Application>
  <DocSecurity>0</DocSecurity>
  <Lines>66</Lines>
  <Paragraphs>18</Paragraphs>
  <ScaleCrop>false</ScaleCrop>
  <Company/>
  <LinksUpToDate>false</LinksUpToDate>
  <CharactersWithSpaces>9341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100000845185606,Uploader: 1156380011,CHDL-UGC-Meta</cp:keywords>
  <cp:lastModifiedBy>Microsoft account</cp:lastModifiedBy>
  <cp:revision>2</cp:revision>
  <dcterms:created xsi:type="dcterms:W3CDTF">2022-04-11T06:34:00Z</dcterms:created>
  <dcterms:modified xsi:type="dcterms:W3CDTF">2022-04-11T06:34:00Z</dcterms:modified>
</cp:coreProperties>
</file>